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Integrated Environmental Assessment and Management</w:t>
      </w:r>
      <w:bookmarkEnd w:id="1"/>
    </w:p>
    <w:p>
      <w:hyperlink r:id="rId7" w:history="1">
        <w:r>
          <w:rPr>
            <w:color w:val="#0000ff"/>
          </w:rPr>
          <w:t xml:space="preserve">https://ou-publier.cirad.fr/index.php/en/node/6138</w:t>
        </w:r>
      </w:hyperlink>
    </w:p>
    <w:p>
      <w:pPr/>
      <w:br/>
      <w:r>
        <w:rPr>
          <w:b w:val="1"/>
          <w:bCs w:val="1"/>
        </w:rPr>
        <w:t xml:space="preserve">Scientific publisher : </w:t>
      </w:r>
      <w:r>
        <w:rPr/>
        <w:t xml:space="preserve">SETAC - Society of Environmental Toxicology and Chemistry (United States)</w:t>
      </w:r>
      <w:br/>
      <w:r>
        <w:rPr>
          <w:b w:val="1"/>
          <w:bCs w:val="1"/>
        </w:rPr>
        <w:t xml:space="preserve">Commercial publisher : </w:t>
      </w:r>
      <w:br/>
      <w:br/>
      <w:r>
        <w:rPr>
          <w:b w:val="1"/>
          <w:bCs w:val="1"/>
        </w:rPr>
        <w:t xml:space="preserve">Journal's website : </w:t>
      </w:r>
      <w:hyperlink r:id="rId8" w:history="1">
        <w:r>
          <w:rPr>
            <w:color w:val="#0000ff"/>
          </w:rPr>
          <w:t xml:space="preserve">https://setac.onlinelibrary.wiley.com/journal/15513793</w:t>
        </w:r>
      </w:hyperlink>
      <w:br/>
      <w:r>
        <w:rPr>
          <w:b w:val="1"/>
          <w:bCs w:val="1"/>
        </w:rPr>
        <w:t xml:space="preserve">Information for authors : </w:t>
      </w:r>
      <w:hyperlink r:id="rId9" w:history="1">
        <w:r>
          <w:rPr>
            <w:color w:val="#0000ff"/>
          </w:rPr>
          <w:t xml:space="preserve">https://setac.onlinelibrary.wiley.com/hub/journal/15513793/author-guidelines</w:t>
        </w:r>
      </w:hyperlink>
      <w:br/>
      <w:br/>
      <w:r>
        <w:rPr>
          <w:b w:val="1"/>
          <w:bCs w:val="1"/>
        </w:rPr>
        <w:t xml:space="preserve">Présentation de la revue</w:t>
      </w:r>
      <w:br/>
      <w:r>
        <w:rPr>
          <w:b w:val="1"/>
          <w:bCs w:val="1"/>
        </w:rPr>
        <w:t xml:space="preserve">Original language : </w:t>
      </w:r>
    </w:p>
    <w:p>
      <w:pPr/>
      <w:r>
        <w:rPr>
          <w:i w:val="1"/>
          <w:iCs w:val="1"/>
        </w:rPr>
        <w:t xml:space="preserve">Integrated Environmental Assessment and Management</w:t>
      </w:r>
      <w:r>
        <w:rPr/>
        <w:t xml:space="preserve"> (IEAM) publishes the science underpinning environmental decision making and problem solving. Papers submitted to </w:t>
      </w:r>
      <w:r>
        <w:rPr>
          <w:i w:val="1"/>
          <w:iCs w:val="1"/>
        </w:rPr>
        <w:t xml:space="preserve">IEAM</w:t>
      </w:r>
      <w:r>
        <w:rPr/>
        <w:t xml:space="preserve"> must link science and technical innovations to vexing regional or global environmental issues in one or more of the following core areas:</w:t>
      </w:r>
    </w:p>
    <w:p>
      <w:pPr>
        <w:numPr>
          <w:ilvl w:val="0"/>
          <w:numId w:val="2"/>
        </w:numPr>
      </w:pPr>
      <w:r>
        <w:rPr/>
        <w:t xml:space="preserve">Science-informed regulation, policy, and decision making</w:t>
      </w:r>
    </w:p>
    <w:p>
      <w:pPr>
        <w:numPr>
          <w:ilvl w:val="0"/>
          <w:numId w:val="2"/>
        </w:numPr>
      </w:pPr>
      <w:r>
        <w:rPr/>
        <w:t xml:space="preserve">Health and ecological risk and impact assessment</w:t>
      </w:r>
    </w:p>
    <w:p>
      <w:pPr>
        <w:numPr>
          <w:ilvl w:val="0"/>
          <w:numId w:val="2"/>
        </w:numPr>
      </w:pPr>
      <w:r>
        <w:rPr/>
        <w:t xml:space="preserve">Restoration and management of damaged ecosystems</w:t>
      </w:r>
    </w:p>
    <w:p>
      <w:pPr>
        <w:numPr>
          <w:ilvl w:val="0"/>
          <w:numId w:val="2"/>
        </w:numPr>
      </w:pPr>
      <w:r>
        <w:rPr/>
        <w:t xml:space="preserve">Sustaining ecosystems</w:t>
      </w:r>
    </w:p>
    <w:p>
      <w:pPr>
        <w:numPr>
          <w:ilvl w:val="0"/>
          <w:numId w:val="2"/>
        </w:numPr>
      </w:pPr>
      <w:r>
        <w:rPr/>
        <w:t xml:space="preserve">Managing large-scale environmental change.</w:t>
      </w:r>
    </w:p>
    <w:p>
      <w:pPr/>
      <w:r>
        <w:rPr/>
        <w:t xml:space="preserve">Papers published in these broad fields of study are connected by an array of interdisciplinary engineering, management, and scientific themes, which collectively reflect the interconnectedness of the scientific, social, and environmental challenges facing our modern global society:</w:t>
      </w:r>
    </w:p>
    <w:p>
      <w:pPr>
        <w:numPr>
          <w:ilvl w:val="0"/>
          <w:numId w:val="3"/>
        </w:numPr>
      </w:pPr>
      <w:r>
        <w:rPr/>
        <w:t xml:space="preserve">Methods for environmental quality assessment; forecasting across a number of ecosystem uses and challenges (systems-based, cost-benefit, ecosystem services, etc.); measuring or predicting ecosystem change and adaptation</w:t>
      </w:r>
    </w:p>
    <w:p>
      <w:pPr>
        <w:numPr>
          <w:ilvl w:val="0"/>
          <w:numId w:val="3"/>
        </w:numPr>
      </w:pPr>
      <w:r>
        <w:rPr/>
        <w:t xml:space="preserve">Approaches that connect policy and management tools; harmonize national and international environmental regulation; merge human well-being with ecological management; develop and sustain the function of ecosystems; conceptualize, model and apply concepts of spatial and regional sustainability</w:t>
      </w:r>
    </w:p>
    <w:p>
      <w:pPr>
        <w:numPr>
          <w:ilvl w:val="0"/>
          <w:numId w:val="3"/>
        </w:numPr>
      </w:pPr>
      <w:r>
        <w:rPr/>
        <w:t xml:space="preserve">Assessment and management frameworks that incorporate conservation, life cycle, restoration, and sustainability; considerations for climate-induced adaptation, change and consequences, and vulnerability</w:t>
      </w:r>
    </w:p>
    <w:p>
      <w:pPr>
        <w:numPr>
          <w:ilvl w:val="0"/>
          <w:numId w:val="3"/>
        </w:numPr>
      </w:pPr>
      <w:r>
        <w:rPr/>
        <w:t xml:space="preserve">Environmental management applications using risk-based approaches; considerations for protecting and fostering biodiversity, as well as enhancement or protection of ecosystem services and resiliency</w:t>
      </w:r>
    </w:p>
    <w:p>
      <w:pPr/>
    </w:p>
    <w:p>
      <w:pPr/>
      <w:r>
        <w:rPr>
          <w:b w:val="1"/>
          <w:bCs w:val="1"/>
        </w:rPr>
        <w:t xml:space="preserve">Topics : </w:t>
      </w:r>
      <w:r>
        <w:rPr/>
        <w:t xml:space="preserve"/>
      </w:r>
      <w:br/>
      <w:r>
        <w:rPr/>
        <w:t xml:space="preserve">Macro-economics and politics</w:t>
      </w:r>
      <w:br/>
      <w:r>
        <w:rPr/>
        <w:t xml:space="preserve">Environment, sustainability: multidiscip.</w:t>
      </w:r>
      <w:br/>
      <w:r>
        <w:rPr/>
        <w:t xml:space="preserve">Pollution</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IEAM</w:t>
      </w:r>
      <w:br/>
      <w:r>
        <w:rPr>
          <w:b w:val="1"/>
          <w:bCs w:val="1"/>
        </w:rPr>
        <w:t xml:space="preserve">Abbreviated title (ISO) : </w:t>
      </w:r>
      <w:r>
        <w:rPr/>
        <w:t xml:space="preserve">Integr. Environ. Assess. Manag.</w:t>
      </w:r>
      <w:br/>
      <w:r>
        <w:rPr>
          <w:b w:val="1"/>
          <w:bCs w:val="1"/>
        </w:rPr>
        <w:t xml:space="preserve">ISSN : </w:t>
      </w:r>
      <w:r>
        <w:rPr/>
        <w:t xml:space="preserve">1551-3777 (ISSN-L); 1551-3777 (ISSN-Print); 1551-3793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2830 euros (updated 07/09/2023)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https://cdn.ymaws.com/www.setac.org/resource/resmgr/Publications_and_Resources/SETAC-data-transparency-poli.pdf</w:t>
        </w:r>
      </w:hyperlink>
      <w:br/>
      <w:br/>
      <w:r>
        <w:rPr/>
        <w:t xml:space="preserve">Updated on </w:t>
      </w:r>
      <w:r>
        <w:rPr/>
        <w:t xml:space="preserve">07/09/2023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E7F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A375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38" TargetMode="External"/><Relationship Id="rId8" Type="http://schemas.openxmlformats.org/officeDocument/2006/relationships/hyperlink" Target="https://setac.onlinelibrary.wiley.com/journal/15513793" TargetMode="External"/><Relationship Id="rId9" Type="http://schemas.openxmlformats.org/officeDocument/2006/relationships/hyperlink" Target="https://setac.onlinelibrary.wiley.com/hub/journal/15513793/author-guidelines" TargetMode="External"/><Relationship Id="rId10" Type="http://schemas.openxmlformats.org/officeDocument/2006/relationships/hyperlink" Target="https://cdn.ymaws.com/www.setac.org/resource/resmgr/Publications_and_Resources/SETAC-data-transparency-poli.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2024-11-23T05:59:31+01:00</dcterms:created>
  <dcterms:modified xsi:type="dcterms:W3CDTF">2024-11-23T05:59:31+01:00</dcterms:modified>
</cp:coreProperties>
</file>

<file path=docProps/custom.xml><?xml version="1.0" encoding="utf-8"?>
<Properties xmlns="http://schemas.openxmlformats.org/officeDocument/2006/custom-properties" xmlns:vt="http://schemas.openxmlformats.org/officeDocument/2006/docPropsVTypes"/>
</file>