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https://ou-publier.cirad.fr/index.php/en/node/6057</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http://agronomyjournal.usamv.ro/index.php</w:t>
        </w:r>
      </w:hyperlink>
      <w:br/>
      <w:r>
        <w:rPr>
          <w:b w:val="1"/>
          <w:bCs w:val="1"/>
        </w:rPr>
        <w:t xml:space="preserve">Information for authors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Original language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2285-5785 (ISSN-L); 2285-5785 (ISSN-Print); 2285-5807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100 €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2024-11-22T17:20:32+01:00</dcterms:created>
  <dcterms:modified xsi:type="dcterms:W3CDTF">2024-11-22T17:20:32+01:00</dcterms:modified>
</cp:coreProperties>
</file>

<file path=docProps/custom.xml><?xml version="1.0" encoding="utf-8"?>
<Properties xmlns="http://schemas.openxmlformats.org/officeDocument/2006/custom-properties" xmlns:vt="http://schemas.openxmlformats.org/officeDocument/2006/docPropsVTypes"/>
</file>