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IET Biometrics</w:t>
      </w:r>
      <w:bookmarkEnd w:id="1"/>
    </w:p>
    <w:p>
      <w:hyperlink r:id="rId7" w:history="1">
        <w:r>
          <w:rPr>
            <w:color w:val="#0000ff"/>
          </w:rPr>
          <w:t xml:space="preserve">https://ou-publier.cirad.fr/index.php/en/node/5786</w:t>
        </w:r>
      </w:hyperlink>
    </w:p>
    <w:p>
      <w:pPr/>
      <w:br/>
      <w:r>
        <w:rPr>
          <w:b w:val="1"/>
          <w:bCs w:val="1"/>
        </w:rPr>
        <w:t xml:space="preserve">Scientific publisher : </w:t>
      </w:r>
      <w:r>
        <w:rPr/>
        <w:t xml:space="preserve">IET - Institution of Engineering Technology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https://ietresearch.onlinelibrary.wiley.com/journal/20474946?tabActivePane=undefined</w:t>
        </w:r>
      </w:hyperlink>
      <w:br/>
      <w:r>
        <w:rPr>
          <w:b w:val="1"/>
          <w:bCs w:val="1"/>
        </w:rPr>
        <w:t xml:space="preserve">Information for authors : </w:t>
      </w:r>
      <w:hyperlink r:id="rId9" w:history="1">
        <w:r>
          <w:rPr>
            <w:color w:val="#0000ff"/>
          </w:rPr>
          <w:t xml:space="preserve">https://digital-library.theiet.org/journals/author-guide-s1</w:t>
        </w:r>
      </w:hyperlink>
      <w:br/>
      <w:r>
        <w:rPr>
          <w:b w:val="1"/>
          <w:bCs w:val="1"/>
        </w:rPr>
        <w:t xml:space="preserve">Other link : </w:t>
      </w:r>
      <w:hyperlink r:id="rId10" w:history="1">
        <w:r>
          <w:rPr>
            <w:color w:val="#0000ff"/>
          </w:rPr>
          <w:t xml:space="preserve">https://digital-library.theiet.org/content/journals/iet-bmt</w:t>
        </w:r>
      </w:hyperlink>
      <w:br/>
      <w:br/>
      <w:r>
        <w:rPr>
          <w:b w:val="1"/>
          <w:bCs w:val="1"/>
        </w:rPr>
        <w:t xml:space="preserve">Présentation de la revue</w:t>
      </w:r>
      <w:br/>
      <w:r>
        <w:rPr>
          <w:b w:val="1"/>
          <w:bCs w:val="1"/>
        </w:rPr>
        <w:t xml:space="preserve">Original language : </w:t>
      </w:r>
    </w:p>
    <w:p>
      <w:pPr/>
      <w:r>
        <w:rPr/>
        <w:t xml:space="preserve">The scope of the Journal is intentionally relatively wide. While focusing on core technological issues, it is recognised that these may be inherently diverse and in many cases may cross traditional disciplinary boundaries. The scope of the Journal will therefore include any topics where it can be shown that a paper can increase our understanding of biometric systems, signal future developments and applications for biometrics, or promote greater practical uptake for relevant technologie. Subjects :  Aerospace / Bioengineering / Communication, Networking &amp; Broadcasting /   Components, Circuits, Devices &amp; Systems / Computing &amp; Processing / Engineered Materials, Dielectrics &amp; Plasmas / Engineering Profession / Fields, Waves &amp; Electromagnetics / General Topics for Engineers / Signal Processing &amp; Analysis /    Transportation</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IET biom.</w:t>
      </w:r>
      <w:br/>
      <w:r>
        <w:rPr>
          <w:b w:val="1"/>
          <w:bCs w:val="1"/>
        </w:rPr>
        <w:t xml:space="preserve">ISSN : </w:t>
      </w:r>
      <w:r>
        <w:rPr/>
        <w:t xml:space="preserve">2047-4938 (ISSN-L); 2047-4938 (ISSN-Print); 2047-4946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2000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12/07/2022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86" TargetMode="External"/><Relationship Id="rId8" Type="http://schemas.openxmlformats.org/officeDocument/2006/relationships/hyperlink" Target="https://ietresearch.onlinelibrary.wiley.com/journal/20474946?tabActivePane=undefined" TargetMode="External"/><Relationship Id="rId9" Type="http://schemas.openxmlformats.org/officeDocument/2006/relationships/hyperlink" Target="https://digital-library.theiet.org/journals/author-guide-s1" TargetMode="External"/><Relationship Id="rId10" Type="http://schemas.openxmlformats.org/officeDocument/2006/relationships/hyperlink" Target="https://digital-library.theiet.org/content/journals/iet-bmt"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2024-11-23T06:57:25+01:00</dcterms:created>
  <dcterms:modified xsi:type="dcterms:W3CDTF">2024-11-23T06:57:25+01:00</dcterms:modified>
</cp:coreProperties>
</file>

<file path=docProps/custom.xml><?xml version="1.0" encoding="utf-8"?>
<Properties xmlns="http://schemas.openxmlformats.org/officeDocument/2006/custom-properties" xmlns:vt="http://schemas.openxmlformats.org/officeDocument/2006/docPropsVTypes"/>
</file>