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Carbon Management</w:t>
      </w:r>
      <w:bookmarkEnd w:id="1"/>
    </w:p>
    <w:p>
      <w:hyperlink r:id="rId7" w:history="1">
        <w:r>
          <w:rPr>
            <w:color w:val="#0000ff"/>
          </w:rPr>
          <w:t xml:space="preserve">https://ou-publier.cirad.fr/index.php/en/node/5456</w:t>
        </w:r>
      </w:hyperlink>
    </w:p>
    <w:p>
      <w:pPr/>
      <w:br/>
      <w:r>
        <w:rPr>
          <w:b w:val="1"/>
          <w:bCs w:val="1"/>
        </w:rPr>
        <w:t xml:space="preserve">Scientific publisher : </w:t>
      </w:r>
      <w:r>
        <w:rPr/>
        <w:t xml:space="preserve">Greenhouse Gas Management Institute (United States)</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https://www.tandfonline.com/journals/tcmt20</w:t>
        </w:r>
      </w:hyperlink>
      <w:br/>
      <w:r>
        <w:rPr>
          <w:b w:val="1"/>
          <w:bCs w:val="1"/>
        </w:rPr>
        <w:t xml:space="preserve">Information for authors : </w:t>
      </w:r>
      <w:hyperlink r:id="rId9" w:history="1">
        <w:r>
          <w:rPr>
            <w:color w:val="#0000ff"/>
          </w:rPr>
          <w:t xml:space="preserve">http://www.tandfonline.com/action/authorSubmission?journalCode=tcmt20&amp;page=instructions</w:t>
        </w:r>
      </w:hyperlink>
      <w:br/>
      <w:br/>
      <w:r>
        <w:rPr>
          <w:b w:val="1"/>
          <w:bCs w:val="1"/>
        </w:rPr>
        <w:t xml:space="preserve">Présentation de la revue</w:t>
      </w:r>
      <w:br/>
      <w:r>
        <w:rPr>
          <w:b w:val="1"/>
          <w:bCs w:val="1"/>
        </w:rPr>
        <w:t xml:space="preserve">Original language : </w:t>
      </w:r>
    </w:p>
    <w:p>
      <w:pPr/>
      <w:r>
        <w:rPr>
          <w:i w:val="1"/>
          <w:iCs w:val="1"/>
        </w:rPr>
        <w:t xml:space="preserve">Carbon Management</w:t>
      </w:r>
      <w:r>
        <w:rPr/>
        <w:t xml:space="preserve"> is a scholarly peer-reviewed forum for insights from the diverse array of disciplines that enhance our understanding of carbon dioxide and other GHG interactions – from biology, ecology, chemistry and engineering to law, policy, economics and sociology. The core aim of </w:t>
      </w:r>
      <w:r>
        <w:rPr>
          <w:i w:val="1"/>
          <w:iCs w:val="1"/>
        </w:rPr>
        <w:t xml:space="preserve">Carbon Management</w:t>
      </w:r>
      <w:r>
        <w:rPr/>
        <w:t xml:space="preserve"> is it to examine the options and mechanisms for mitigating the causes and impacts of climate change, which includes mechanisms for reducing emissions and enhancing the removal of GHGs from the atmosphere, as well as metrics used to measure performance of options and mechanisms resulting from international treaties, domestic policies, local regulations, environmental markets, technologies, industrial efforts and consumer choices. Key themes in the scope of the journal include:</w:t>
      </w:r>
    </w:p>
    <w:p>
      <w:pPr>
        <w:numPr>
          <w:ilvl w:val="0"/>
          <w:numId w:val="2"/>
        </w:numPr>
      </w:pPr>
      <w:r>
        <w:rPr/>
        <w:t xml:space="preserve">The carbon cycle</w:t>
      </w:r>
    </w:p>
    <w:p>
      <w:pPr>
        <w:numPr>
          <w:ilvl w:val="0"/>
          <w:numId w:val="2"/>
        </w:numPr>
      </w:pPr>
      <w:r>
        <w:rPr/>
        <w:t xml:space="preserve">Policy planning and implementation</w:t>
      </w:r>
    </w:p>
    <w:p>
      <w:pPr>
        <w:numPr>
          <w:ilvl w:val="0"/>
          <w:numId w:val="2"/>
        </w:numPr>
      </w:pPr>
      <w:r>
        <w:rPr/>
        <w:t xml:space="preserve">Mitigation analysis</w:t>
      </w:r>
    </w:p>
    <w:p>
      <w:pPr>
        <w:numPr>
          <w:ilvl w:val="0"/>
          <w:numId w:val="2"/>
        </w:numPr>
      </w:pPr>
      <w:r>
        <w:rPr/>
        <w:t xml:space="preserve">GHG protocols, standards, methodologies, emission inventories, accounting and metrics</w:t>
      </w:r>
    </w:p>
    <w:p>
      <w:pPr>
        <w:numPr>
          <w:ilvl w:val="0"/>
          <w:numId w:val="2"/>
        </w:numPr>
      </w:pPr>
      <w:r>
        <w:rPr/>
        <w:t xml:space="preserve">Uncertainty</w:t>
      </w:r>
    </w:p>
    <w:p>
      <w:pPr>
        <w:numPr>
          <w:ilvl w:val="0"/>
          <w:numId w:val="2"/>
        </w:numPr>
      </w:pPr>
      <w:r>
        <w:rPr/>
        <w:t xml:space="preserve">Information and communication technologies (ICTs).</w:t>
      </w:r>
    </w:p>
    <w:p>
      <w:pPr/>
    </w:p>
    <w:p>
      <w:pPr/>
      <w:r>
        <w:rPr>
          <w:b w:val="1"/>
          <w:bCs w:val="1"/>
        </w:rPr>
        <w:t xml:space="preserve">Topics : </w:t>
      </w:r>
      <w:r>
        <w:rPr/>
        <w:t xml:space="preserve"/>
      </w:r>
      <w:br/>
      <w:r>
        <w:rPr/>
        <w:t xml:space="preserve">Macro-economics and politics</w:t>
      </w:r>
      <w:br/>
      <w:r>
        <w:rPr/>
        <w:t xml:space="preserve">Climate and environmental change</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Greenhouse Gas Measurement and Management</w:t>
      </w:r>
      <w:br/>
      <w:r>
        <w:rPr>
          <w:b w:val="1"/>
          <w:bCs w:val="1"/>
        </w:rPr>
        <w:t xml:space="preserve">Abbreviated title (ISO) : </w:t>
      </w:r>
      <w:r>
        <w:rPr/>
        <w:t xml:space="preserve">Carbon Manag.</w:t>
      </w:r>
      <w:br/>
      <w:r>
        <w:rPr>
          <w:b w:val="1"/>
          <w:bCs w:val="1"/>
        </w:rPr>
        <w:t xml:space="preserve">ISSN : </w:t>
      </w:r>
      <w:r>
        <w:rPr/>
        <w:t xml:space="preserve">1758-3004 (ISSN-L); 1758-3004 (ISSN-Print); 1758-3012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Special issues, Commentaries, Conference reports, Data papers, Case studies, Letters, Opinions, Policy papers</w:t>
      </w:r>
      <w:br/>
      <w:br/>
      <w:r>
        <w:rPr>
          <w:b w:val="1"/>
          <w:bCs w:val="1"/>
        </w:rPr>
        <w:t xml:space="preserve">Publishing costs : </w:t>
      </w:r>
      <w:r>
        <w:rPr/>
        <w:t xml:space="preserve">Yes</w:t>
      </w:r>
      <w:br/>
      <w:r>
        <w:rPr>
          <w:b w:val="1"/>
          <w:bCs w:val="1"/>
        </w:rPr>
        <w:t xml:space="preserve">Total publishing costs : </w:t>
      </w:r>
      <w:r>
        <w:rPr/>
        <w:t xml:space="preserve">2110 €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https://authorservices.taylorandfrancis.com/data-sharing-policies/share-upon-reasonable-request/</w:t>
        </w:r>
      </w:hyperlink>
      <w:br/>
      <w:br/>
      <w:r>
        <w:rPr/>
        <w:t xml:space="preserve">Updated on </w:t>
      </w:r>
      <w:r>
        <w:rPr/>
        <w:t xml:space="preserve">08/10/2024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FCF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56" TargetMode="External"/><Relationship Id="rId8" Type="http://schemas.openxmlformats.org/officeDocument/2006/relationships/hyperlink" Target="https://www.tandfonline.com/journals/tcmt20" TargetMode="External"/><Relationship Id="rId9" Type="http://schemas.openxmlformats.org/officeDocument/2006/relationships/hyperlink" Target="http://www.tandfonline.com/action/authorSubmission?journalCode=tcmt20&amp;page=instructions" TargetMode="External"/><Relationship Id="rId10" Type="http://schemas.openxmlformats.org/officeDocument/2006/relationships/hyperlink" Target="https://authorservices.taylorandfrancis.com/data-sharing-policies/share-upon-reasonable-reques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2024-11-05T03:20:54+01:00</dcterms:created>
  <dcterms:modified xsi:type="dcterms:W3CDTF">2024-11-05T03:20:54+01:00</dcterms:modified>
</cp:coreProperties>
</file>

<file path=docProps/custom.xml><?xml version="1.0" encoding="utf-8"?>
<Properties xmlns="http://schemas.openxmlformats.org/officeDocument/2006/custom-properties" xmlns:vt="http://schemas.openxmlformats.org/officeDocument/2006/docPropsVTypes"/>
</file>