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Antimicrobial Agents and Chemotherapy</w:t>
      </w:r>
      <w:bookmarkEnd w:id="1"/>
    </w:p>
    <w:p>
      <w:hyperlink r:id="rId7" w:history="1">
        <w:r>
          <w:rPr>
            <w:color w:val="#0000ff"/>
          </w:rPr>
          <w:t xml:space="preserve">https://ou-publier.cirad.fr/index.php/en/node/5378</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http://aac.asm.org/</w:t>
        </w:r>
      </w:hyperlink>
      <w:br/>
      <w:r>
        <w:rPr>
          <w:b w:val="1"/>
          <w:bCs w:val="1"/>
        </w:rPr>
        <w:t xml:space="preserve">Information for authors : </w:t>
      </w:r>
      <w:hyperlink r:id="rId9" w:history="1">
        <w:r>
          <w:rPr>
            <w:color w:val="#0000ff"/>
          </w:rPr>
          <w:t xml:space="preserve">https://aac.asm.org/content/submission-review-publication-processes</w:t>
        </w:r>
      </w:hyperlink>
      <w:br/>
      <w:br/>
      <w:r>
        <w:rPr>
          <w:b w:val="1"/>
          <w:bCs w:val="1"/>
        </w:rPr>
        <w:t xml:space="preserve">Présentation de la revue</w:t>
      </w:r>
      <w:br/>
      <w:r>
        <w:rPr>
          <w:b w:val="1"/>
          <w:bCs w:val="1"/>
        </w:rPr>
        <w:t xml:space="preserve">Original language : </w:t>
      </w:r>
    </w:p>
    <w:p>
      <w:pPr/>
      <w:r>
        <w:rPr/>
        <w:t xml:space="preserve">Antimicrobial Agents and Chemotherapy (AAC) features interdisciplinary studies that build our understanding of the underlying mechanisms and therapeutic applications of antimicrobial and antiparasitic agents and chemotherapy. The journal also publishes studies involving animal models, pharmacological characterization, and clinical trials. Complementing the journal's full-length research articles, minireviews quickly bring readers up to date with the state of the science in fast-moving areas of research, making it a key resource for microbiologists, pharmaceutical researchers, biochemists, pharmacologists, clinicians, and other infectious disease practitioners.</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AAC</w:t>
      </w:r>
      <w:br/>
      <w:r>
        <w:rPr>
          <w:b w:val="1"/>
          <w:bCs w:val="1"/>
        </w:rPr>
        <w:t xml:space="preserve">Abbreviated title (ISO) : </w:t>
      </w:r>
      <w:r>
        <w:rPr/>
        <w:t xml:space="preserve">Antimicrob. Agents Chemother.</w:t>
      </w:r>
      <w:br/>
      <w:r>
        <w:rPr>
          <w:b w:val="1"/>
          <w:bCs w:val="1"/>
        </w:rPr>
        <w:t xml:space="preserve">ISSN : </w:t>
      </w:r>
      <w:r>
        <w:rPr/>
        <w:t xml:space="preserve">0066-4804 (ISSN-L); 0066-4804 (ISSN-Print); 1098-6596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6 mois après parution.</w:t>
      </w:r>
    </w:p>
    <w:p>
      <w:pPr/>
      <w:br/>
      <w:r>
        <w:rPr>
          <w:b w:val="1"/>
          <w:bCs w:val="1"/>
        </w:rPr>
        <w:t xml:space="preserve">Article types : </w:t>
      </w:r>
      <w:r>
        <w:rPr/>
        <w:t xml:space="preserve">Research articles, Short articles, Commentaries, Letters, Minireviews, Opinions</w:t>
      </w:r>
      <w:br/>
      <w:br/>
      <w:r>
        <w:rPr>
          <w:b w:val="1"/>
          <w:bCs w:val="1"/>
        </w:rPr>
        <w:t xml:space="preserve">Publishing costs : </w:t>
      </w:r>
      <w:r>
        <w:rPr/>
        <w:t xml:space="preserve">Yes</w:t>
      </w:r>
      <w:br/>
      <w:r>
        <w:rPr>
          <w:b w:val="1"/>
          <w:bCs w:val="1"/>
        </w:rPr>
        <w:t xml:space="preserve">Cost of optional open access : </w:t>
      </w:r>
      <w:r>
        <w:rPr/>
        <w:t xml:space="preserve">3500$ (non member), 2500$ (ASM member). Réduction possible si ressources financières limitées. (updated 01/01/2021)</w:t>
      </w:r>
      <w:br/>
      <w:r>
        <w:rPr>
          <w:b w:val="1"/>
          <w:bCs w:val="1"/>
        </w:rPr>
        <w:t xml:space="preserve">Total publishing costs : </w:t>
      </w:r>
      <w:r>
        <w:rPr/>
        <w:t xml:space="preserve">180$/page (non member) et 90$/p (ASM member). Les minireviews et commentaires sont gratuits.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https://journals.asm.org/open-data-policy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78" TargetMode="External"/><Relationship Id="rId8" Type="http://schemas.openxmlformats.org/officeDocument/2006/relationships/hyperlink" Target="http://aac.asm.org/" TargetMode="External"/><Relationship Id="rId9" Type="http://schemas.openxmlformats.org/officeDocument/2006/relationships/hyperlink" Target="https://aac.asm.org/content/submission-review-publication-processes"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2024-11-24T03:37:20+01:00</dcterms:created>
  <dcterms:modified xsi:type="dcterms:W3CDTF">2024-11-24T03:37:20+01:00</dcterms:modified>
</cp:coreProperties>
</file>

<file path=docProps/custom.xml><?xml version="1.0" encoding="utf-8"?>
<Properties xmlns="http://schemas.openxmlformats.org/officeDocument/2006/custom-properties" xmlns:vt="http://schemas.openxmlformats.org/officeDocument/2006/docPropsVTypes"/>
</file>