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https://ou-publier.cirad.fr/index.php/en/node/4515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http://www.emeraldgrouppublishing.com/sampj.htm</w:t>
        </w:r>
      </w:hyperlink>
      <w:br/>
      <w:r>
        <w:rPr>
          <w:b w:val="1"/>
          <w:bCs w:val="1"/>
        </w:rPr>
        <w:t xml:space="preserve">Information for authors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Original language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SAMPJ</w:t>
      </w:r>
      <w:br/>
      <w:r>
        <w:rPr>
          <w:b w:val="1"/>
          <w:bCs w:val="1"/>
        </w:rPr>
        <w:t xml:space="preserve">Abbreviated title (ISO) : </w:t>
      </w:r>
      <w:r>
        <w:rPr/>
        <w:t xml:space="preserve">Sustain. Account. Manage. Policy J.</w:t>
      </w:r>
      <w:br/>
      <w:r>
        <w:rPr>
          <w:b w:val="1"/>
          <w:bCs w:val="1"/>
        </w:rPr>
        <w:t xml:space="preserve">ISSN : </w:t>
      </w:r>
      <w:r>
        <w:rPr/>
        <w:t xml:space="preserve">2040-8021 (ISSN-L); 2040-8021 (ISSN-Print); 2040-803X (ISSN-Electronic)</w:t>
      </w:r>
      <w:br/>
      <w:r>
        <w:rPr>
          <w:b w:val="1"/>
          <w:bCs w:val="1"/>
        </w:rPr>
        <w:t xml:space="preserve">Frequency : </w:t>
      </w:r>
      <w:r>
        <w:rPr/>
        <w:t xml:space="preserve">5 issues/year</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Special issues, Technical articles,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2880 Euros (réduction possible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2024-11-22T16:26:24+01:00</dcterms:created>
  <dcterms:modified xsi:type="dcterms:W3CDTF">2024-11-22T16:26:24+01:00</dcterms:modified>
</cp:coreProperties>
</file>

<file path=docProps/custom.xml><?xml version="1.0" encoding="utf-8"?>
<Properties xmlns="http://schemas.openxmlformats.org/officeDocument/2006/custom-properties" xmlns:vt="http://schemas.openxmlformats.org/officeDocument/2006/docPropsVTypes"/>
</file>