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https://ou-publier.cirad.fr/index.php/en/node/3976</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https://comptes-rendus.academie-sciences.fr/chimie</w:t>
        </w:r>
      </w:hyperlink>
      <w:br/>
      <w:r>
        <w:rPr>
          <w:b w:val="1"/>
          <w:bCs w:val="1"/>
        </w:rPr>
        <w:t xml:space="preserve">Information for authors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Original language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Other language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 R. Chim.</w:t>
      </w:r>
      <w:br/>
      <w:r>
        <w:rPr>
          <w:b w:val="1"/>
          <w:bCs w:val="1"/>
        </w:rPr>
        <w:t xml:space="preserve">ISSN : </w:t>
      </w:r>
      <w:r>
        <w:rPr/>
        <w:t xml:space="preserve">1631-0748 (ISSN-L); 1631-0748 (ISSN-Print); 1878-1543 (ISSN-Electronic)</w:t>
      </w:r>
      <w:br/>
      <w:r>
        <w:rPr>
          <w:b w:val="1"/>
          <w:bCs w:val="1"/>
        </w:rPr>
        <w:t xml:space="preserve">Frequency : </w:t>
      </w:r>
      <w:r>
        <w:rPr/>
        <w:t xml:space="preserve">12 issues/year (Monthly)</w:t>
      </w:r>
      <w:br/>
      <w:r>
        <w:rPr>
          <w:b w:val="1"/>
          <w:bCs w:val="1"/>
        </w:rPr>
        <w:t xml:space="preserve">Additional information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https://comptes-rendus.academie-sciences.fr/chimie/page/instructions-aux-auteurs_fr/#donn%C3%A9es%20cristallographiques</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2024-11-25T17:06:05+01:00</dcterms:created>
  <dcterms:modified xsi:type="dcterms:W3CDTF">2024-11-25T17:06:05+01:00</dcterms:modified>
</cp:coreProperties>
</file>

<file path=docProps/custom.xml><?xml version="1.0" encoding="utf-8"?>
<Properties xmlns="http://schemas.openxmlformats.org/officeDocument/2006/custom-properties" xmlns:vt="http://schemas.openxmlformats.org/officeDocument/2006/docPropsVTypes"/>
</file>