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https://ou-publier.cirad.fr/index.php/en/node/3778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https://www.sciencedirect.com/journal/acta-oecologica</w:t>
        </w:r>
      </w:hyperlink>
      <w:br/>
      <w:r>
        <w:rPr>
          <w:b w:val="1"/>
          <w:bCs w:val="1"/>
        </w:rPr>
        <w:t xml:space="preserve">Information for authors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Original language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Oecol.</w:t>
      </w:r>
      <w:br/>
      <w:r>
        <w:rPr>
          <w:b w:val="1"/>
          <w:bCs w:val="1"/>
        </w:rPr>
        <w:t xml:space="preserve">ISSN : </w:t>
      </w:r>
      <w:r>
        <w:rPr/>
        <w:t xml:space="preserve">1146-609X (ISSN-L); 1146-609X (ISSN-Print); 1873-6238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2900$. Pour les Ciradiens, aucun coût à payer suite à un accord national pour la période 2024-2027 (https://intranet-dist.cirad.fr/publier/choisir-la-revue/accords-cirad-editeurs). (updated 17/07/2024)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2024-11-21T17:43:15+01:00</dcterms:created>
  <dcterms:modified xsi:type="dcterms:W3CDTF">2024-11-21T17:43:15+01:00</dcterms:modified>
</cp:coreProperties>
</file>

<file path=docProps/custom.xml><?xml version="1.0" encoding="utf-8"?>
<Properties xmlns="http://schemas.openxmlformats.org/officeDocument/2006/custom-properties" xmlns:vt="http://schemas.openxmlformats.org/officeDocument/2006/docPropsVTypes"/>
</file>