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https://ou-publier.cirad.fr/index.php/en/node/3623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r>
        <w:rPr/>
        <w:t xml:space="preserve">Technology: multidisciplinary</w:t>
      </w:r>
      <w:br/>
      <w:r>
        <w:rPr/>
        <w:t xml:space="preserve">Non-food products, biofuels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(ISSN-Print); 1746-7748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20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 (updated 04/04/2024)</w:t>
      </w:r>
      <w:br/>
      <w:r>
        <w:rPr>
          <w:b w:val="1"/>
          <w:bCs w:val="1"/>
        </w:rPr>
        <w:t xml:space="preserve">Total publishing costs : </w:t>
      </w:r>
      <w:r>
        <w:rPr/>
        <w:t xml:space="preserve">775 $ (updated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2024-11-05T03:25:27+01:00</dcterms:created>
  <dcterms:modified xsi:type="dcterms:W3CDTF">2024-11-05T03:25:27+01:00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