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Editions Quae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https://ou-publier.cirad.fr/index.php/en/node/3216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https://www.quae.com/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https://www.quae.com/store/page/82/espace-auteurs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2006, Quæ est la maison d'édition de trois instituts de recherche français : Cirad, Ifremer et INRAE. Avec un fonds de près de 1 500 titres, Quæ vise à favoriser les échanges entre scientifiques, la transmission des savoirs et savoir-faire, l’aide à la décision et au débat public. Ses thèmes sont variés : l’agriculture et la sylviculture, l’environnement, l’alimentation, la mer, les ressources aquatiques et marines, les sciences de la vie et de la terre, les sciences humaines et sociales.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Quae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Possibilité de contacter l'équipe Quae du Cirad à la Dist (Montpellier) pour discuter d'un projet de publication.</w:t>
      </w:r>
    </w:p>
    <w:p>
      <w:pPr/>
      <w:br/>
      <w:r>
        <w:rPr/>
        <w:t xml:space="preserve">Updated on </w:t>
      </w:r>
      <w:r>
        <w:rPr/>
        <w:t xml:space="preserve">24/01/2023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16" TargetMode="External"/><Relationship Id="rId8" Type="http://schemas.openxmlformats.org/officeDocument/2006/relationships/hyperlink" Target="https://www.quae.com/" TargetMode="External"/><Relationship Id="rId9" Type="http://schemas.openxmlformats.org/officeDocument/2006/relationships/hyperlink" Target="https://www.quae.com/store/page/82/espace-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2024-11-22T06:13:33+01:00</dcterms:created>
  <dcterms:modified xsi:type="dcterms:W3CDTF">2024-11-22T06:13:33+01:00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