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https://ou-publier.cirad.fr/index.php/node/6485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https://www.tandfonline.com/journals/gaan20</w:t>
        </w:r>
      </w:hyperlink>
      <w:br/>
      <w:r>
        <w:rPr>
          <w:b w:val="1"/>
          <w:bCs w:val="1"/>
        </w:rPr>
        <w:t xml:space="preserve">Informations aux auteurs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Langue originale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Thèmes : </w:t>
      </w:r>
      <w:r>
        <w:rPr/>
        <w:t xml:space="preserve"/>
      </w:r>
      <w:br/>
      <w:r>
        <w:rPr/>
        <w:t xml:space="preserve">Production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1745-039X (ISSN-L); 1745-039X (Papier); 1477-2817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Notes de recherche</w:t>
      </w:r>
      <w:br/>
      <w:br/>
      <w:r>
        <w:rPr>
          <w:b w:val="1"/>
          <w:bCs w:val="1"/>
        </w:rPr>
        <w:t xml:space="preserve">Frais de publication : </w:t>
      </w:r>
      <w:r>
        <w:rPr/>
        <w:t xml:space="preserve">Non</w:t>
      </w:r>
      <w:br/>
      <w:r>
        <w:rPr>
          <w:b w:val="1"/>
          <w:bCs w:val="1"/>
        </w:rPr>
        <w:t xml:space="preserve">Coût du libre accès optionnel : </w:t>
      </w:r>
      <w:r>
        <w:rPr/>
        <w:t xml:space="preserve">3505 € (mise à jour le 24/07/2024)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2024-11-05T03:25:34+01:00</dcterms:created>
  <dcterms:modified xsi:type="dcterms:W3CDTF">2024-11-05T03:25:34+01:00</dcterms:modified>
</cp:coreProperties>
</file>

<file path=docProps/custom.xml><?xml version="1.0" encoding="utf-8"?>
<Properties xmlns="http://schemas.openxmlformats.org/officeDocument/2006/custom-properties" xmlns:vt="http://schemas.openxmlformats.org/officeDocument/2006/docPropsVTypes"/>
</file>