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Aquaculture International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https://ou-publier.cirad.fr/index.php/node/5941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EAS - European Aquaculture Society (Belgique)</w:t>
      </w:r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https://www.springer.com/life+sciences/ecology/journal/10499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https://www.springer.com/journal/10499/submission-guidelines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Aquaculture International is the official Journal of the European Aquaculture Society. It publishes research papers, short communications, technical notes and review papers on all aspects of aquaculture.</w:t>
      </w:r>
      <w:br/>
      <w:r>
        <w:rPr/>
        <w:t xml:space="preserve">The Journal covers topics such as:</w:t>
      </w:r>
      <w:br/>
      <w:r>
        <w:rPr/>
        <w:t xml:space="preserve">* the biology, physiology, pathology and genetics of cultured fish, crustaceans, molluscs and plants: especially new species.</w:t>
      </w:r>
      <w:br/>
      <w:r>
        <w:rPr/>
        <w:t xml:space="preserve">* The water quality of supply systems, fluctuations in water quality within farms and the environmental impacts of aquacultural operations.</w:t>
      </w:r>
      <w:br/>
      <w:r>
        <w:rPr/>
        <w:t xml:space="preserve">* nutrition, feeding and stocking practices, especially as they affect the health, behaviour, appetite, conversion efficiency and growth rates of cultured species.</w:t>
      </w:r>
      <w:br/>
      <w:r>
        <w:rPr/>
        <w:t xml:space="preserve">* The development of economically sound and sustainable production techniques.</w:t>
      </w:r>
      <w:br/>
      <w:r>
        <w:rPr/>
        <w:t xml:space="preserve">* Bioengineering studies focusing on important aspects of the design and management of both offshore and land-based systems, as well as the integration and application of improved scientific and engineering technologies.</w:t>
      </w:r>
      <w:br/>
      <w:r>
        <w:rPr/>
        <w:t xml:space="preserve">* The improvement of quality and marketing of farmed products.</w:t>
      </w:r>
      <w:br/>
      <w:r>
        <w:rPr/>
        <w:t xml:space="preserve">* The sociological and societal impacts of aquaculture.</w:t>
      </w:r>
      <w:br/>
      <w:r>
        <w:rPr/>
        <w:t xml:space="preserve">Each article will, where appropriate, include a clear statement of the practical significance and implications of the results obtained from original research conducted or literature synthesized, in a way that can be readily appreciated by commercial farmers.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Aquaculture et pêches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Aquac. Int.</w:t>
      </w:r>
      <w:br/>
      <w:r>
        <w:rPr>
          <w:b w:val="1"/>
          <w:bCs w:val="1"/>
        </w:rPr>
        <w:t xml:space="preserve">ISSN : </w:t>
      </w:r>
      <w:r>
        <w:rPr/>
        <w:t xml:space="preserve">0967-6120 (ISSN-L); 0967-6120 (Papier); 1573-143X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Articles techniques, Opinions, Policy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2890 € (mise à jour le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Mise à jour le </w:t>
      </w:r>
      <w:r>
        <w:rPr/>
        <w:t xml:space="preserve">22/07/2024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941" TargetMode="External"/><Relationship Id="rId8" Type="http://schemas.openxmlformats.org/officeDocument/2006/relationships/hyperlink" Target="https://www.springer.com/life+sciences/ecology/journal/10499" TargetMode="External"/><Relationship Id="rId9" Type="http://schemas.openxmlformats.org/officeDocument/2006/relationships/hyperlink" Target="https://www.springer.com/journal/10499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2024-11-24T05:48:10+01:00</dcterms:created>
  <dcterms:modified xsi:type="dcterms:W3CDTF">2024-11-24T05:48:10+01:00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