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Futures and Foresight Science</w:t>
      </w:r>
      <w:bookmarkEnd w:id="1"/>
    </w:p>
    <w:p>
      <w:hyperlink r:id="rId7" w:history="1">
        <w:r>
          <w:rPr>
            <w:color w:val="#0000ff"/>
          </w:rPr>
          <w:t xml:space="preserve">https://ou-publier.cirad.fr/index.php/node/5846</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https://onlinelibrary.wiley.com/journal/25735152</w:t>
        </w:r>
      </w:hyperlink>
      <w:br/>
      <w:r>
        <w:rPr>
          <w:b w:val="1"/>
          <w:bCs w:val="1"/>
        </w:rPr>
        <w:t xml:space="preserve">Informations aux auteurs : </w:t>
      </w:r>
      <w:hyperlink r:id="rId9" w:history="1">
        <w:r>
          <w:rPr>
            <w:color w:val="#0000ff"/>
          </w:rPr>
          <w:t xml:space="preserve">https://onlinelibrary.wiley.com/page/journal/25735152/homepage/forauthors.html</w:t>
        </w:r>
      </w:hyperlink>
      <w:br/>
      <w:br/>
      <w:r>
        <w:rPr>
          <w:b w:val="1"/>
          <w:bCs w:val="1"/>
        </w:rPr>
        <w:t xml:space="preserve">Présentation de la revue</w:t>
      </w:r>
      <w:br/>
      <w:r>
        <w:rPr>
          <w:b w:val="1"/>
          <w:bCs w:val="1"/>
        </w:rPr>
        <w:t xml:space="preserve">Langue originale : </w:t>
      </w:r>
    </w:p>
    <w:p>
      <w:pPr/>
      <w:r>
        <w:rPr>
          <w:i w:val="1"/>
          <w:iCs w:val="1"/>
        </w:rPr>
        <w:t xml:space="preserve">Futures &amp; Foresight Science</w:t>
      </w:r>
      <w:r>
        <w:rPr/>
        <w:t xml:space="preserve"> publishes articles which focus on methods that aid anticipation of the future in the widest sense, that document the current status of a particular method’s application and use, and that analyze its future potential and prospects. The journal is focused on publishing original scientific papers but occasionally publishes papers that provide important insights from practice. Submissions of either of the two types should be channeled appropriately at the point of online submission.</w:t>
      </w:r>
    </w:p>
    <w:p>
      <w:pPr/>
      <w:r>
        <w:rPr/>
        <w:t xml:space="preserve">Specifically, we invite papers that consider:</w:t>
      </w:r>
    </w:p>
    <w:p>
      <w:pPr>
        <w:numPr>
          <w:ilvl w:val="0"/>
          <w:numId w:val="2"/>
        </w:numPr>
      </w:pPr>
      <w:r>
        <w:rPr/>
        <w:t xml:space="preserve">Particular scenario methods,</w:t>
      </w:r>
    </w:p>
    <w:p>
      <w:pPr>
        <w:numPr>
          <w:ilvl w:val="0"/>
          <w:numId w:val="2"/>
        </w:numPr>
      </w:pPr>
      <w:r>
        <w:rPr/>
        <w:t xml:space="preserve">Variants of the Delphi method,</w:t>
      </w:r>
    </w:p>
    <w:p>
      <w:pPr>
        <w:numPr>
          <w:ilvl w:val="0"/>
          <w:numId w:val="2"/>
        </w:numPr>
      </w:pPr>
      <w:r>
        <w:rPr/>
        <w:t xml:space="preserve">Judgmental probability forecasting,</w:t>
      </w:r>
    </w:p>
    <w:p>
      <w:pPr>
        <w:numPr>
          <w:ilvl w:val="0"/>
          <w:numId w:val="2"/>
        </w:numPr>
      </w:pPr>
      <w:r>
        <w:rPr/>
        <w:t xml:space="preserve">Corporate and organizational foresight,</w:t>
      </w:r>
    </w:p>
    <w:p>
      <w:pPr>
        <w:numPr>
          <w:ilvl w:val="0"/>
          <w:numId w:val="2"/>
        </w:numPr>
      </w:pPr>
      <w:r>
        <w:rPr/>
        <w:t xml:space="preserve">The role and validity of expert judgment in anticipating the future,</w:t>
      </w:r>
    </w:p>
    <w:p>
      <w:pPr>
        <w:numPr>
          <w:ilvl w:val="0"/>
          <w:numId w:val="2"/>
        </w:numPr>
      </w:pPr>
      <w:r>
        <w:rPr/>
        <w:t xml:space="preserve">The combination of judgments from groups of individuals,</w:t>
      </w:r>
    </w:p>
    <w:p>
      <w:pPr>
        <w:numPr>
          <w:ilvl w:val="0"/>
          <w:numId w:val="2"/>
        </w:numPr>
      </w:pPr>
      <w:r>
        <w:rPr/>
        <w:t xml:space="preserve">The behavioral dynamics of using a focal method,</w:t>
      </w:r>
    </w:p>
    <w:p>
      <w:pPr>
        <w:numPr>
          <w:ilvl w:val="0"/>
          <w:numId w:val="2"/>
        </w:numPr>
      </w:pPr>
      <w:r>
        <w:rPr/>
        <w:t xml:space="preserve">The combination of futures methodologies,</w:t>
      </w:r>
    </w:p>
    <w:p>
      <w:pPr>
        <w:numPr>
          <w:ilvl w:val="0"/>
          <w:numId w:val="2"/>
        </w:numPr>
      </w:pPr>
      <w:r>
        <w:rPr/>
        <w:t xml:space="preserve">Horizon scanning methodologies and</w:t>
      </w:r>
    </w:p>
    <w:p>
      <w:pPr>
        <w:numPr>
          <w:ilvl w:val="0"/>
          <w:numId w:val="2"/>
        </w:numPr>
      </w:pPr>
      <w:r>
        <w:rPr/>
        <w:t xml:space="preserve">Advances in decision-aiding methods that contend with future uncertainty.</w:t>
      </w:r>
    </w:p>
    <w:p>
      <w:pPr/>
    </w:p>
    <w:p>
      <w:pPr/>
      <w:r>
        <w:rPr>
          <w:b w:val="1"/>
          <w:bCs w:val="1"/>
        </w:rPr>
        <w:t xml:space="preserve">Thèmes : </w:t>
      </w:r>
      <w:r>
        <w:rPr/>
        <w:t xml:space="preserve"/>
      </w:r>
      <w:br/>
      <w:r>
        <w:rPr/>
        <w:t xml:space="preserve">Macro-économie et politique</w:t>
      </w:r>
      <w:br/>
      <w:r>
        <w:rPr/>
        <w:t xml:space="preserve">Sciences et sociétés, éthique</w:t>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Futures &amp; Foresight Science</w:t>
      </w:r>
      <w:br/>
      <w:r>
        <w:rPr>
          <w:b w:val="1"/>
          <w:bCs w:val="1"/>
        </w:rPr>
        <w:t xml:space="preserve">ISSN : </w:t>
      </w:r>
      <w:r>
        <w:rPr/>
        <w:t xml:space="preserve">2573-5152 (ISSN-L); 2573-5152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Articles techniques</w:t>
      </w:r>
      <w:br/>
      <w:br/>
      <w:r>
        <w:rPr>
          <w:b w:val="1"/>
          <w:bCs w:val="1"/>
        </w:rPr>
        <w:t xml:space="preserve">Frais de publication : </w:t>
      </w:r>
      <w:r>
        <w:rPr/>
        <w:t xml:space="preserve">Non</w:t>
      </w:r>
      <w:br/>
      <w:r>
        <w:rPr>
          <w:b w:val="1"/>
          <w:bCs w:val="1"/>
        </w:rPr>
        <w:t xml:space="preserve">Coût du libre accès optionnel : </w:t>
      </w:r>
      <w:r>
        <w:rPr/>
        <w:t xml:space="preserve">2630 €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A15D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46" TargetMode="External"/><Relationship Id="rId8" Type="http://schemas.openxmlformats.org/officeDocument/2006/relationships/hyperlink" Target="https://onlinelibrary.wiley.com/journal/25735152" TargetMode="External"/><Relationship Id="rId9" Type="http://schemas.openxmlformats.org/officeDocument/2006/relationships/hyperlink" Target="https://onlinelibrary.wiley.com/page/journal/25735152/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2024-11-23T04:13:53+01:00</dcterms:created>
  <dcterms:modified xsi:type="dcterms:W3CDTF">2024-11-23T04:13:53+01:00</dcterms:modified>
</cp:coreProperties>
</file>

<file path=docProps/custom.xml><?xml version="1.0" encoding="utf-8"?>
<Properties xmlns="http://schemas.openxmlformats.org/officeDocument/2006/custom-properties" xmlns:vt="http://schemas.openxmlformats.org/officeDocument/2006/docPropsVTypes"/>
</file>