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https://ou-publier.cirad.fr/index.php/node/5634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https://www.tandfonline.com/toc/labt20/current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http://www.tandfonline.com/action/authorSubmission?journalCode=labt20&amp;page=instructions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Animal Biotechnology covers the identification and manipulation of genes and their products, stressing applications in domesticated animals. The journal also provides a forum for regulatory or scientific issues related to cell and molecular biology, immunogenetics, transgenic animals, and microbiology.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animale</w:t>
      </w:r>
      <w:br/>
      <w:r>
        <w:rPr/>
        <w:t xml:space="preserve">Génétique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Anim. Biotechnol.</w:t>
      </w:r>
      <w:br/>
      <w:r>
        <w:rPr>
          <w:b w:val="1"/>
          <w:bCs w:val="1"/>
        </w:rPr>
        <w:t xml:space="preserve">ISSN : </w:t>
      </w:r>
      <w:r>
        <w:rPr/>
        <w:t xml:space="preserve">1049-5398 (ISSN-L); 1049-5398 (Papier); 1532-2378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apres publication, la version post-print peut être déposée sur une archive ouverte (ex: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01/06/2024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634" TargetMode="External"/><Relationship Id="rId8" Type="http://schemas.openxmlformats.org/officeDocument/2006/relationships/hyperlink" Target="https://www.tandfonline.com/toc/labt20/current" TargetMode="External"/><Relationship Id="rId9" Type="http://schemas.openxmlformats.org/officeDocument/2006/relationships/hyperlink" Target="http://www.tandfonline.com/action/authorSubmission?journalCode=labt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2024-11-22T03:04:59+01:00</dcterms:created>
  <dcterms:modified xsi:type="dcterms:W3CDTF">2024-11-22T03:04:59+01:00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