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https://ou-publier.cirad.fr/index.php/node/5456</w:t>
        </w:r>
      </w:hyperlink>
    </w:p>
    <w:p>
      <w:pPr/>
      <w:br/>
      <w:r>
        <w:rPr>
          <w:b w:val="1"/>
          <w:bCs w:val="1"/>
        </w:rPr>
        <w:t xml:space="preserve">Editeur scientifique : </w:t>
      </w:r>
      <w:r>
        <w:rPr/>
        <w:t xml:space="preserve">Greenhouse Gas Management Institute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https://www.tandfonline.com/journals/tcmt20</w:t>
        </w:r>
      </w:hyperlink>
      <w:br/>
      <w:r>
        <w:rPr>
          <w:b w:val="1"/>
          <w:bCs w:val="1"/>
        </w:rPr>
        <w:t xml:space="preserve">Informations aux auteurs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Langue originale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Thèmes : </w:t>
      </w:r>
      <w:r>
        <w:rPr/>
        <w:t xml:space="preserve"/>
      </w:r>
      <w:br/>
      <w:r>
        <w:rPr/>
        <w:t xml:space="preserve">Macro-économie et politique</w:t>
      </w:r>
      <w:br/>
      <w:r>
        <w:rPr/>
        <w:t xml:space="preserve">Changement climatique et environnemental</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Greenhouse Gas Measurement and Management</w:t>
      </w:r>
      <w:br/>
      <w:r>
        <w:rPr>
          <w:b w:val="1"/>
          <w:bCs w:val="1"/>
        </w:rPr>
        <w:t xml:space="preserve">Titre abrégé (ISO) : </w:t>
      </w:r>
      <w:r>
        <w:rPr/>
        <w:t xml:space="preserve">Carbon Manag.</w:t>
      </w:r>
      <w:br/>
      <w:r>
        <w:rPr>
          <w:b w:val="1"/>
          <w:bCs w:val="1"/>
        </w:rPr>
        <w:t xml:space="preserve">ISSN : </w:t>
      </w:r>
      <w:r>
        <w:rPr/>
        <w:t xml:space="preserve">1758-3004 (ISSN-L); 1758-3004 (Papier); 1758-3012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Numéros thématiques, Commentaires, Comptes rendus de conférences, Data papers, Etudes de cas, Lettres, Opinions, Policy papers</w:t>
      </w:r>
      <w:br/>
      <w:br/>
      <w:r>
        <w:rPr>
          <w:b w:val="1"/>
          <w:bCs w:val="1"/>
        </w:rPr>
        <w:t xml:space="preserve">Frais de publication : </w:t>
      </w:r>
      <w:r>
        <w:rPr/>
        <w:t xml:space="preserve">Oui</w:t>
      </w:r>
      <w:br/>
      <w:r>
        <w:rPr>
          <w:b w:val="1"/>
          <w:bCs w:val="1"/>
        </w:rPr>
        <w:t xml:space="preserve">Montant des frais de publication : </w:t>
      </w:r>
      <w:r>
        <w:rPr/>
        <w:t xml:space="preserve">2110 €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https://authorservices.taylorandfrancis.com/data-sharing-policies/share-upon-reasonable-request/</w:t>
        </w:r>
      </w:hyperlink>
      <w:br/>
      <w:br/>
      <w:r>
        <w:rPr/>
        <w:t xml:space="preserve">Mise à jour le </w:t>
      </w:r>
      <w:r>
        <w:rPr/>
        <w:t xml:space="preserve">08/10/2024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E52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2024-11-22T10:17:54+01:00</dcterms:created>
  <dcterms:modified xsi:type="dcterms:W3CDTF">2024-11-22T10:17:54+01:00</dcterms:modified>
</cp:coreProperties>
</file>

<file path=docProps/custom.xml><?xml version="1.0" encoding="utf-8"?>
<Properties xmlns="http://schemas.openxmlformats.org/officeDocument/2006/custom-properties" xmlns:vt="http://schemas.openxmlformats.org/officeDocument/2006/docPropsVTypes"/>
</file>