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Theriogenology</w:t>
      </w:r>
      <w:bookmarkEnd w:id="1"/>
    </w:p>
    <w:p>
      <w:hyperlink r:id="rId7" w:history="1">
        <w:r>
          <w:rPr>
            <w:color w:val="#0000ff"/>
          </w:rPr>
          <w:t xml:space="preserve">https://ou-publier.cirad.fr/index.php/node/5449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http://www.journals.elsevier.com/theriogenology/</w:t>
        </w:r>
      </w:hyperlink>
      <w:br/>
      <w:r>
        <w:rPr>
          <w:b w:val="1"/>
          <w:bCs w:val="1"/>
        </w:rPr>
        <w:t xml:space="preserve">Informations aux auteurs : </w:t>
      </w:r>
      <w:hyperlink r:id="rId9" w:history="1">
        <w:r>
          <w:rPr>
            <w:color w:val="#0000ff"/>
          </w:rPr>
          <w:t xml:space="preserve">https://www.elsevier.com/journals/theriogenology/0093-691x/guide-for-authors</w:t>
        </w:r>
      </w:hyperlink>
      <w:br/>
      <w:br/>
      <w:r>
        <w:rPr>
          <w:b w:val="1"/>
          <w:bCs w:val="1"/>
        </w:rPr>
        <w:t xml:space="preserve">Présentation de la revue</w:t>
      </w:r>
      <w:br/>
      <w:r>
        <w:rPr>
          <w:b w:val="1"/>
          <w:bCs w:val="1"/>
        </w:rPr>
        <w:t xml:space="preserve">Langue originale : </w:t>
      </w:r>
    </w:p>
    <w:p>
      <w:pPr/>
      <w:r>
        <w:rPr/>
        <w:t xml:space="preserve">Theriogenology provides an international forum for researchers, clinicians, and industry professionals in animal reproductive biology. This acclaimed journal publishes articles on a wide range of topics in reproductive and developmental biology, of domestic mammal, avian, and aquatic species as well as wild species which are the object of veterinary care in research or conservation programs.</w:t>
      </w:r>
    </w:p>
    <w:p>
      <w:pPr/>
    </w:p>
    <w:p>
      <w:pPr/>
      <w:r>
        <w:rPr>
          <w:b w:val="1"/>
          <w:bCs w:val="1"/>
        </w:rPr>
        <w:t xml:space="preserve">Thèmes : </w:t>
      </w:r>
      <w:r>
        <w:rPr/>
        <w:t xml:space="preserve"/>
      </w:r>
      <w:br/>
      <w:r>
        <w:rPr/>
        <w:t xml:space="preserve">Production animale : multidisciplinaire</w:t>
      </w:r>
      <w:br/>
      <w:r>
        <w:rPr/>
        <w:t xml:space="preserve">Santé animale : multidisciplinaire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An International Journal of Animal Reproduction</w:t>
      </w:r>
      <w:br/>
      <w:r>
        <w:rPr>
          <w:b w:val="1"/>
          <w:bCs w:val="1"/>
        </w:rPr>
        <w:t xml:space="preserve">Titre abrégé (ISO) : </w:t>
      </w:r>
      <w:r>
        <w:rPr/>
        <w:t xml:space="preserve">Theriogenology</w:t>
      </w:r>
      <w:br/>
      <w:r>
        <w:rPr>
          <w:b w:val="1"/>
          <w:bCs w:val="1"/>
        </w:rPr>
        <w:t xml:space="preserve">ISSN : </w:t>
      </w:r>
      <w:r>
        <w:rPr/>
        <w:t xml:space="preserve">0093-691X (ISSN-L); 0093-691X (Papier); 1879-3231 (Electronique)</w:t>
      </w:r>
      <w:br/>
      <w:r>
        <w:rPr>
          <w:b w:val="1"/>
          <w:bCs w:val="1"/>
        </w:rPr>
        <w:t xml:space="preserve">Périodicité : </w:t>
      </w:r>
      <w:r>
        <w:rPr/>
        <w:t xml:space="preserve">18 n°/an</w:t>
      </w:r>
      <w:br/>
    </w:p>
    <w:p>
      <w:pPr/>
      <w:r>
        <w:rPr>
          <w:b w:val="1"/>
          <w:bCs w:val="1"/>
        </w:rPr>
        <w:t xml:space="preserve">Types d'articles : </w:t>
      </w:r>
      <w:r>
        <w:rPr/>
        <w:t xml:space="preserve">Articles de recherche, Articles de synthèse,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$3740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49" TargetMode="External"/><Relationship Id="rId8" Type="http://schemas.openxmlformats.org/officeDocument/2006/relationships/hyperlink" Target="http://www.journals.elsevier.com/theriogenology/" TargetMode="External"/><Relationship Id="rId9" Type="http://schemas.openxmlformats.org/officeDocument/2006/relationships/hyperlink" Target="https://www.elsevier.com/journals/theriogenology/0093-6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2024-11-22T10:21:56+01:00</dcterms:created>
  <dcterms:modified xsi:type="dcterms:W3CDTF">2024-11-22T10:21:56+01:00</dcterms:modified>
</cp:coreProperties>
</file>

<file path=docProps/custom.xml><?xml version="1.0" encoding="utf-8"?>
<Properties xmlns="http://schemas.openxmlformats.org/officeDocument/2006/custom-properties" xmlns:vt="http://schemas.openxmlformats.org/officeDocument/2006/docPropsVTypes"/>
</file>