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https://ou-publier.cirad.fr/index.php/node/5363</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https://pubs.acs.org/journal/ascecg</w:t>
        </w:r>
      </w:hyperlink>
      <w:br/>
      <w:r>
        <w:rPr>
          <w:b w:val="1"/>
          <w:bCs w:val="1"/>
        </w:rPr>
        <w:t xml:space="preserve">Informations aux auteurs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Langue originale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Thèmes : </w:t>
      </w:r>
      <w:r>
        <w:rPr/>
        <w:t xml:space="preserve"/>
      </w:r>
      <w:br/>
      <w:r>
        <w:rPr/>
        <w:t xml:space="preserve">Energie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Sustain. Chem. Eng.</w:t>
      </w:r>
      <w:br/>
      <w:r>
        <w:rPr>
          <w:b w:val="1"/>
          <w:bCs w:val="1"/>
        </w:rPr>
        <w:t xml:space="preserve">ISSN : </w:t>
      </w:r>
      <w:r>
        <w:rPr/>
        <w:t xml:space="preserve">2168-0485 (ISSN-L); 2168-0485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Variable selon licence CC choisie : 4000 dollars pour l'option la moins chère pour les non membres d'ACS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2024-11-05T01:23:40+01:00</dcterms:created>
  <dcterms:modified xsi:type="dcterms:W3CDTF">2024-11-05T01:23:40+01:00</dcterms:modified>
</cp:coreProperties>
</file>

<file path=docProps/custom.xml><?xml version="1.0" encoding="utf-8"?>
<Properties xmlns="http://schemas.openxmlformats.org/officeDocument/2006/custom-properties" xmlns:vt="http://schemas.openxmlformats.org/officeDocument/2006/docPropsVTypes"/>
</file>