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Pathology</w:t>
      </w:r>
      <w:bookmarkEnd w:id="1"/>
    </w:p>
    <w:p>
      <w:hyperlink r:id="rId7" w:history="1">
        <w:r>
          <w:rPr>
            <w:color w:val="#0000ff"/>
          </w:rPr>
          <w:t xml:space="preserve">https://ou-publier.cirad.fr/index.php/node/3559</w:t>
        </w:r>
      </w:hyperlink>
    </w:p>
    <w:p>
      <w:pPr/>
      <w:br/>
      <w:r>
        <w:rPr>
          <w:b w:val="1"/>
          <w:bCs w:val="1"/>
        </w:rPr>
        <w:t xml:space="preserve">Editeur scientifique : </w:t>
      </w:r>
      <w:r>
        <w:rPr/>
        <w:t xml:space="preserve">BSPP - British Society of Plant Pathology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https://onlinelibrary.wiley.com/journal/13653059</w:t>
        </w:r>
      </w:hyperlink>
      <w:br/>
      <w:r>
        <w:rPr>
          <w:b w:val="1"/>
          <w:bCs w:val="1"/>
        </w:rPr>
        <w:t xml:space="preserve">Informations aux auteurs : </w:t>
      </w:r>
      <w:hyperlink r:id="rId9" w:history="1">
        <w:r>
          <w:rPr>
            <w:color w:val="#0000ff"/>
          </w:rPr>
          <w:t xml:space="preserve">https://bsppjournals.onlinelibrary.wiley.com/pb-assets/assets/13653059/PPA%20Author%20Guidelines%20v2024-01-1706309990.pdf</w:t>
        </w:r>
      </w:hyperlink>
      <w:br/>
      <w:br/>
      <w:r>
        <w:rPr>
          <w:b w:val="1"/>
          <w:bCs w:val="1"/>
        </w:rPr>
        <w:t xml:space="preserve">Présentation de la revue</w:t>
      </w:r>
      <w:br/>
      <w:r>
        <w:rPr>
          <w:b w:val="1"/>
          <w:bCs w:val="1"/>
        </w:rPr>
        <w:t xml:space="preserve">Langue originale : </w:t>
      </w:r>
    </w:p>
    <w:p>
      <w:pPr/>
      <w:r>
        <w:rPr/>
        <w:t xml:space="preserve">This international journal, owned and edited by the British Society for Plant Pathology, covers all aspects of plant pathology and reaches subscribers in 80 countries. Top quality original research papers and critical reviews from around the world cover: diseases of temperate and tropical plants caused by fungi, bacteria, viruses, phytoplasmas and nematodes; physiological, biochemical, molecular, ecological, genetic and economic aspects of plant pathology; disease epidemiology and modelling; disease appraisal and crop loss assessment; and plant disease control and disease-related crop management.</w:t>
      </w:r>
      <w:br/>
      <w:r>
        <w:rPr/>
        <w:t xml:space="preserve"> </w:t>
      </w:r>
    </w:p>
    <w:p>
      <w:pPr/>
    </w:p>
    <w:p>
      <w:pPr/>
      <w:r>
        <w:rPr>
          <w:b w:val="1"/>
          <w:bCs w:val="1"/>
        </w:rPr>
        <w:t xml:space="preserve">Thèmes : </w:t>
      </w:r>
      <w:r>
        <w:rPr/>
        <w:t xml:space="preserve"/>
      </w:r>
      <w:br/>
      <w:r>
        <w:rPr/>
        <w:t xml:space="preserve">Maladies et bioagresseurs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Pathol.</w:t>
      </w:r>
      <w:br/>
      <w:r>
        <w:rPr>
          <w:b w:val="1"/>
          <w:bCs w:val="1"/>
        </w:rPr>
        <w:t xml:space="preserve">ISSN : </w:t>
      </w:r>
      <w:r>
        <w:rPr/>
        <w:t xml:space="preserve">0032-0862 (ISSN-L); 0032-0862 (Papier); 1365-3059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Non</w:t>
      </w:r>
      <w:br/>
      <w:r>
        <w:rPr>
          <w:b w:val="1"/>
          <w:bCs w:val="1"/>
        </w:rPr>
        <w:t xml:space="preserve">Coût du libre accès optionnel : </w:t>
      </w:r>
      <w:r>
        <w:rPr/>
        <w:t xml:space="preserve">3790 € (mise à jour le 08/02/2024)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59" TargetMode="External"/><Relationship Id="rId8" Type="http://schemas.openxmlformats.org/officeDocument/2006/relationships/hyperlink" Target="https://onlinelibrary.wiley.com/journal/13653059" TargetMode="External"/><Relationship Id="rId9" Type="http://schemas.openxmlformats.org/officeDocument/2006/relationships/hyperlink" Target="https://bsppjournals.onlinelibrary.wiley.com/pb-assets/assets/13653059/PPA%20Author%20Guidelines%20v2024-01-170630999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2024-11-23T03:06:57+01:00</dcterms:created>
  <dcterms:modified xsi:type="dcterms:W3CDTF">2024-11-23T03:06:57+01:00</dcterms:modified>
</cp:coreProperties>
</file>

<file path=docProps/custom.xml><?xml version="1.0" encoding="utf-8"?>
<Properties xmlns="http://schemas.openxmlformats.org/officeDocument/2006/custom-properties" xmlns:vt="http://schemas.openxmlformats.org/officeDocument/2006/docPropsVTypes"/>
</file>