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Biocontrol Science and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https://ou-publier.cirad.fr/index.php/node/3299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https://www.tandfonline.com/toc/cbst20/current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http://www.tandfonline.com/action/authorSubmission?journalCode=cbst20&amp;page=instructions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"Biocontrol Science and Technology" presents original research and reviews in the fields of biological pest, disease and weed control. The journal covers the following areas: animal pest control by natural enemies; biocontrol of plant diseases; weed biocontrol; 'classical' biocontrol; augmentative releases of natural enemies; quality control of beneficial organisms; microbial pesticides; properties of biocontrol agents, modes of actions and methods of application; physiology and behaviour of biocontrol agents and their interaction with hosts; pest and natural enemy dynamics, and simulation modelling; genetic improvement of natural enemies including genetic manipulation; natural enemy production, formulation, distribution and release methods; environmental impact studies; releases of selected and/or genetically manipulated organisms; safety testing; the role of biocontrol methods in integrated crop protection; conservation and enhancement of natural enemy populations; effects of pesticides on biocontrol organisms; biocontrol legislation and policy; registration and commercialization.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Méthodes de lutte</w:t>
      </w:r>
      <w:br/>
      <w:r>
        <w:rPr/>
        <w:t xml:space="preserve">Maladies et bioagresseurs</w:t>
      </w:r>
      <w:br/>
      <w:r>
        <w:rPr/>
        <w:t xml:space="preserve">Mauvaises herbes</w:t>
      </w:r>
      <w:br/>
      <w:r>
        <w:rPr/>
        <w:t xml:space="preserve">Santé animale : multidisciplinaire</w:t>
      </w:r>
      <w:br/>
      <w:r>
        <w:rPr/>
        <w:t xml:space="preserve">Santé humaine</w:t>
      </w:r>
      <w:br/>
      <w:r>
        <w:rPr/>
        <w:t xml:space="preserve">Microbiologie : multidisciplinaire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Biocontrol Sci. Technol.</w:t>
      </w:r>
      <w:br/>
      <w:r>
        <w:rPr>
          <w:b w:val="1"/>
          <w:bCs w:val="1"/>
        </w:rPr>
        <w:t xml:space="preserve">ISSN : </w:t>
      </w:r>
      <w:r>
        <w:rPr/>
        <w:t xml:space="preserve">0958-3157 (ISSN-L); 0958-3157 (Papier); 1360-0478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Dépôt de la version acceptée (post-print) sur archive ouverte possible 12 mois après parution des articles.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Forum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2730 Euros (réduction pour les pays du Sud)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Mise à jour le </w:t>
      </w:r>
      <w:r>
        <w:rPr/>
        <w:t xml:space="preserve">20/07/2022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99" TargetMode="External"/><Relationship Id="rId8" Type="http://schemas.openxmlformats.org/officeDocument/2006/relationships/hyperlink" Target="https://www.tandfonline.com/toc/cbst20/current" TargetMode="External"/><Relationship Id="rId9" Type="http://schemas.openxmlformats.org/officeDocument/2006/relationships/hyperlink" Target="http://www.tandfonline.com/action/authorSubmission?journalCode=cbst20&amp;page=instructions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2024-11-22T04:23:23+01:00</dcterms:created>
  <dcterms:modified xsi:type="dcterms:W3CDTF">2024-11-22T04:23:23+01:00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