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globale, santé publique, santé humaine</w:t>
      </w:r>
      <w:br/>
      <w:r>
        <w:rPr/>
        <w:t xml:space="preserve">Sciences de l'information</w:t>
      </w:r>
      <w:br/>
      <w:r>
        <w:rPr/>
        <w:t xml:space="preserve">Environnement, ressources naturelles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Pearson France</w:t>
      </w:r>
      <w:br/>
      <w:r>
        <w:rPr>
          <w:b w:val="1"/>
          <w:bCs w:val="1"/>
        </w:rPr>
        <w:t xml:space="preserve">Société mère : </w:t>
      </w:r>
      <w:r>
        <w:rPr/>
        <w:t xml:space="preserve">Pearson PLC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Mise à jour le </w:t>
      </w:r>
      <w:r>
        <w:rPr/>
        <w:t xml:space="preserve">12/07/2021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2024-12-22T12:44:36+01:00</dcterms:created>
  <dcterms:modified xsi:type="dcterms:W3CDTF">2024-12-22T12:44:36+01:00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