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Research and One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https://ou-publier.cirad.fr/en/node/6533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Institute of Animal Science, Chinese Academy of Agricultural Sciences (China)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https://onlinelibrary.wiley.com/journal/28355075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https://onlinelibrary.wiley.com/page/journal/28355075/homepage/author-guidelines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Animal Research and One Health</w:t>
      </w:r>
      <w:r>
        <w:rPr/>
        <w:t xml:space="preserve"> (AROH) publishes open access research that examines modern animal farming industries using a multidisciplinary approach known as One Health.</w:t>
      </w:r>
    </w:p>
    <w:p>
      <w:pPr/>
      <w:r>
        <w:rPr/>
        <w:t xml:space="preserve">We welcome research in animal nutrition, breeding and welfare, genetic resource protection, animal environment, precision management, animal product quality control, disease control and low-carbon feeding systems.</w:t>
      </w:r>
    </w:p>
    <w:p>
      <w:pPr/>
      <w:r>
        <w:rPr/>
        <w:t xml:space="preserve">The publication costs are covered by Institute of Animal Sciences, Chinese Academy of Agricultural Sciences (IAS-CAAS) in 2023-2025, so authors do not need to pay an article-processing charge.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AROH</w:t>
      </w:r>
      <w:br/>
      <w:r>
        <w:rPr>
          <w:b w:val="1"/>
          <w:bCs w:val="1"/>
        </w:rPr>
        <w:t xml:space="preserve">ISSN : </w:t>
      </w:r>
      <w:r>
        <w:rPr/>
        <w:t xml:space="preserve">2835-5075 (ISSN-L); 2835-5075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The publication costs for AROH are covered by Institute of Animal Sciences, Chinese Academy of Agricultural Sciences (IAS-CAAS) in 2023-2025, so authors do not need to pay an article-processing charge.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01/07/2025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33" TargetMode="External"/><Relationship Id="rId8" Type="http://schemas.openxmlformats.org/officeDocument/2006/relationships/hyperlink" Target="https://onlinelibrary.wiley.com/journal/28355075" TargetMode="External"/><Relationship Id="rId9" Type="http://schemas.openxmlformats.org/officeDocument/2006/relationships/hyperlink" Target="https://onlinelibrary.wiley.com/page/journal/28355075/homepage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2025-09-27T11:16:08+02:00</dcterms:created>
  <dcterms:modified xsi:type="dcterms:W3CDTF">2025-09-27T11:16:08+02:00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