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Child Protection and Practice</w:t>
      </w:r>
      <w:bookmarkEnd w:id="1"/>
    </w:p>
    <w:p>
      <w:hyperlink r:id="rId7" w:history="1">
        <w:r>
          <w:rPr>
            <w:color w:val="#0000ff"/>
          </w:rPr>
          <w:t xml:space="preserve">https://ou-publier.cirad.fr/en/node/6491</w:t>
        </w:r>
      </w:hyperlink>
    </w:p>
    <w:p>
      <w:pPr/>
      <w:br/>
      <w:r>
        <w:rPr>
          <w:b w:val="1"/>
          <w:bCs w:val="1"/>
        </w:rPr>
        <w:t xml:space="preserve">Scientific publisher : </w:t>
      </w:r>
      <w:r>
        <w:rPr/>
        <w:t xml:space="preserve">International Society for the Prevention of Child Abuse &amp; Neglect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https://www.sciencedirect.com/journal/child-protection-and-practice</w:t>
        </w:r>
      </w:hyperlink>
      <w:br/>
      <w:r>
        <w:rPr>
          <w:b w:val="1"/>
          <w:bCs w:val="1"/>
        </w:rPr>
        <w:t xml:space="preserve">Information for authors : </w:t>
      </w:r>
      <w:hyperlink r:id="rId9" w:history="1">
        <w:r>
          <w:rPr>
            <w:color w:val="#0000ff"/>
          </w:rPr>
          <w:t xml:space="preserve">https://www.sciencedirect.com/journal/child-protection-and-practice/publish/guide-for-authors</w:t>
        </w:r>
      </w:hyperlink>
      <w:br/>
      <w:br/>
      <w:r>
        <w:rPr>
          <w:b w:val="1"/>
          <w:bCs w:val="1"/>
        </w:rPr>
        <w:t xml:space="preserve">Présentation de la revue</w:t>
      </w:r>
      <w:br/>
      <w:r>
        <w:rPr>
          <w:b w:val="1"/>
          <w:bCs w:val="1"/>
        </w:rPr>
        <w:t xml:space="preserve">Original language : </w:t>
      </w:r>
    </w:p>
    <w:p>
      <w:pPr/>
      <w:r>
        <w:rPr/>
        <w:t xml:space="preserve">International in scope and interdisciplinary in focus, </w:t>
      </w:r>
      <w:r>
        <w:rPr>
          <w:i w:val="1"/>
          <w:iCs w:val="1"/>
        </w:rPr>
        <w:t xml:space="preserve">Child Protection and Practice</w:t>
      </w:r>
      <w:r>
        <w:rPr/>
        <w:t xml:space="preserve"> brings together research and practice insights to inform, develop, and support the needs of governments, non-governmental organisations and the wider civil society to promote healthy families and communities and to keep children safe from violence, abuse, exploitation, and neglect. High-quality data and evidence, employing multiple methodologies and drawing on different types of knowledge, have the potential to generate tremendous positive and pragmatic solutions in the field of child protection. Working at the interface of academics and the field, the journal brings multi-sectoral child protection and child safeguarding research and practice into constructive and collaborative dialogue. This will facilitate innovative solutions to complex public policy and service challenges.</w:t>
      </w:r>
    </w:p>
    <w:p>
      <w:pPr/>
      <w:r>
        <w:rPr/>
        <w:t xml:space="preserve">Focused on outcomes, the journal promotes a shared global knowledge and evidence-based prevention and response agenda. It values and considers all stakeholders' perspectives, creating opportunities for more active and influential partnerships in building, strengthening, and scaling innovative solutions that will effectively address childhood violence in resource poor environments. We encourage unsolicited submissions from academics, policymakers, practitioners as well as from advocates and activists. We welcome outcome-oriented articles that will directly impact child protection research, evidence-generation, and practice, including more traditional research articles, review articles and method articles, as well as debate articles and policy and practice discussions informed by perspectives from the frontline of child protection practice.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2950-1938 (ISSN-L); 2950-1938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Technical articles, Case studies, Opinions</w:t>
      </w:r>
      <w:br/>
      <w:br/>
      <w:r>
        <w:rPr>
          <w:b w:val="1"/>
          <w:bCs w:val="1"/>
        </w:rPr>
        <w:t xml:space="preserve">Publishing costs : </w:t>
      </w:r>
      <w:r>
        <w:rPr/>
        <w:t xml:space="preserve">Yes</w:t>
      </w:r>
      <w:br/>
      <w:r>
        <w:rPr>
          <w:b w:val="1"/>
          <w:bCs w:val="1"/>
        </w:rPr>
        <w:t xml:space="preserve">Total publishing costs : </w:t>
      </w:r>
      <w:r>
        <w:rPr/>
        <w:t xml:space="preserve">Free for articles submitted by 31 December 2024. Standard fee: $2200. Pour les Ciradiens, aucun coût à payer suite à un accord national pour la période 2024-2027 (https://intranet-dist.cirad.fr/publier/choisir-la-revue/accords-cirad-editeurs). (updated 01/08/2024)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https://www.elsevier.com/researcher/author/tools-and-resources/research-data/data-base-linking</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91" TargetMode="External"/><Relationship Id="rId8" Type="http://schemas.openxmlformats.org/officeDocument/2006/relationships/hyperlink" Target="https://www.sciencedirect.com/journal/child-protection-and-practice" TargetMode="External"/><Relationship Id="rId9" Type="http://schemas.openxmlformats.org/officeDocument/2006/relationships/hyperlink" Target="https://www.sciencedirect.com/journal/child-protection-and-practice/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2025-09-27T08:58:50+02:00</dcterms:created>
  <dcterms:modified xsi:type="dcterms:W3CDTF">2025-09-27T08:58:50+02:00</dcterms:modified>
</cp:coreProperties>
</file>

<file path=docProps/custom.xml><?xml version="1.0" encoding="utf-8"?>
<Properties xmlns="http://schemas.openxmlformats.org/officeDocument/2006/custom-properties" xmlns:vt="http://schemas.openxmlformats.org/officeDocument/2006/docPropsVTypes"/>
</file>