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Neurocomputing</w:t>
      </w:r>
      <w:bookmarkEnd w:id="1"/>
    </w:p>
    <w:p>
      <w:hyperlink r:id="rId7" w:history="1">
        <w:r>
          <w:rPr>
            <w:color w:val="#0000ff"/>
          </w:rPr>
          <w:t xml:space="preserve">https://ou-publier.cirad.fr/en/node/6398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https://www.sciencedirect.com/journal/neurocomputing</w:t>
        </w:r>
      </w:hyperlink>
      <w:br/>
      <w:r>
        <w:rPr>
          <w:b w:val="1"/>
          <w:bCs w:val="1"/>
        </w:rPr>
        <w:t xml:space="preserve">Information for authors : </w:t>
      </w:r>
      <w:hyperlink r:id="rId9" w:history="1">
        <w:r>
          <w:rPr>
            <w:color w:val="#0000ff"/>
          </w:rPr>
          <w:t xml:space="preserve">https://www.sciencedirect.com/journal/neurocomputing/publish/guide-for-authors</w:t>
        </w:r>
      </w:hyperlink>
      <w:br/>
      <w:br/>
      <w:r>
        <w:rPr>
          <w:b w:val="1"/>
          <w:bCs w:val="1"/>
        </w:rPr>
        <w:t xml:space="preserve">Présentation de la revue</w:t>
      </w:r>
      <w:br/>
      <w:r>
        <w:rPr>
          <w:b w:val="1"/>
          <w:bCs w:val="1"/>
        </w:rPr>
        <w:t xml:space="preserve">Original language : </w:t>
      </w:r>
    </w:p>
    <w:p>
      <w:pPr/>
      <w:r>
        <w:rPr/>
        <w:t xml:space="preserve">Neurocomputing welcomes theoretical contributions aimed at winning further understanding of neural networks and learning systems, including, but not restricted to, architectures, learning methods, analysis of network dynamics, theories of learning, self-organization, biological neural network modelling, sensorimotor transformations and interdisciplinary topics with artificial intelligence, artificial life, cognitive science, computational learning theory, fuzzy logic, genetic algorithms, information theory, machine learning, neurobiology and pattern recognition.</w:t>
      </w:r>
      <w:br/>
      <w:br/>
      <w:r>
        <w:rPr/>
        <w:t xml:space="preserve">Neurocomputing covers practical aspects with contributions on advances in hardware and software development environments for neurocomputing, including, but not restricted to, simulation software environments, emulation hardware architectures, models of concurrent computation, neurocomputers, and neurochips (digital, analog, optical, and biodevices).</w:t>
      </w:r>
    </w:p>
    <w:p>
      <w:pPr/>
      <w:r>
        <w:rPr/>
        <w:t xml:space="preserve">Neurocomputing reports on applications in different fields, including, but not restricted to, signal processing, speech processing, image processing, computer vision, control, robotics, optimization, scheduling, resource allocation and financial forecasting.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0925-2312 (ISSN-L); 0925-2312 (ISSN-Print); 1872-8286 (ISSN-Electronic)</w:t>
      </w:r>
      <w:br/>
      <w:r>
        <w:rPr>
          <w:b w:val="1"/>
          <w:bCs w:val="1"/>
        </w:rPr>
        <w:t xml:space="preserve">Frequency : </w:t>
      </w:r>
      <w:r>
        <w:rPr/>
        <w:t xml:space="preserve">36 issues/year (Thrice-monthly)</w:t>
      </w:r>
      <w:br/>
    </w:p>
    <w:p>
      <w:pPr/>
      <w:r>
        <w:rPr>
          <w:b w:val="1"/>
          <w:bCs w:val="1"/>
        </w:rPr>
        <w:t xml:space="preserve">Article types : </w:t>
      </w:r>
      <w:r>
        <w:rPr/>
        <w:t xml:space="preserve">Reviews, Conference reports, Software papers</w:t>
      </w:r>
      <w:br/>
      <w:br/>
      <w:r>
        <w:rPr>
          <w:b w:val="1"/>
          <w:bCs w:val="1"/>
        </w:rPr>
        <w:t xml:space="preserve">Publishing costs : </w:t>
      </w:r>
      <w:r>
        <w:rPr/>
        <w:t xml:space="preserve">No</w:t>
      </w:r>
      <w:br/>
      <w:r>
        <w:rPr>
          <w:b w:val="1"/>
          <w:bCs w:val="1"/>
        </w:rPr>
        <w:t xml:space="preserve">Cost of optional open access : </w:t>
      </w:r>
      <w:r>
        <w:rPr/>
        <w:t xml:space="preserve">2470 $. Pour les Ciradiens, aucun coût à payer suite à un accord national pour la période 2024-2028 (https://intranet-dist.cirad.fr/publier/choisir-la-revue/accords-cirad-editeurs). (updated 03/06/2024)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8" TargetMode="External"/><Relationship Id="rId8" Type="http://schemas.openxmlformats.org/officeDocument/2006/relationships/hyperlink" Target="https://www.sciencedirect.com/journal/neurocomputing" TargetMode="External"/><Relationship Id="rId9" Type="http://schemas.openxmlformats.org/officeDocument/2006/relationships/hyperlink" Target="https://www.sciencedirect.com/journal/neurocomput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2024-11-23T01:31:54+01:00</dcterms:created>
  <dcterms:modified xsi:type="dcterms:W3CDTF">2024-11-23T01:31:54+01:00</dcterms:modified>
</cp:coreProperties>
</file>

<file path=docProps/custom.xml><?xml version="1.0" encoding="utf-8"?>
<Properties xmlns="http://schemas.openxmlformats.org/officeDocument/2006/custom-properties" xmlns:vt="http://schemas.openxmlformats.org/officeDocument/2006/docPropsVTypes"/>
</file>