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Information Processing in Agriculture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https://ou-publier.cirad.fr/en/node/6384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CAU - China Agricultural University (China)</w:t>
      </w:r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https://www.sciencedirect.com/journal/information-processing-in-agriculture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https://www.sciencedirect.com/journal/information-processing-in-agriculture/publish/guide-for-authors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Information Processing in Agriculture</w:t>
      </w:r>
      <w:r>
        <w:rPr/>
        <w:t xml:space="preserve"> (IPA) was established in 2013 to encourage the development of science and technology related to information processing in agriculture, through the following aims:</w:t>
      </w:r>
    </w:p>
    <w:p>
      <w:pPr>
        <w:numPr>
          <w:ilvl w:val="0"/>
          <w:numId w:val="2"/>
        </w:numPr>
      </w:pPr>
      <w:r>
        <w:rPr/>
        <w:t xml:space="preserve">Promote the use of knowledge and methods from information processing technologies in agriculture;</w:t>
      </w:r>
    </w:p>
    <w:p>
      <w:pPr>
        <w:numPr>
          <w:ilvl w:val="0"/>
          <w:numId w:val="2"/>
        </w:numPr>
      </w:pPr>
      <w:r>
        <w:rPr/>
        <w:t xml:space="preserve">Report on experiences and publications of institutes, universities, and government, as well as profitable technologies for agriculture;</w:t>
      </w:r>
    </w:p>
    <w:p>
      <w:pPr>
        <w:numPr>
          <w:ilvl w:val="0"/>
          <w:numId w:val="2"/>
        </w:numPr>
      </w:pPr>
      <w:r>
        <w:rPr/>
        <w:t xml:space="preserve">Provide a platform and opportunities for exchanging knowledge, strategies, and experiences among information processing researchers worldwide;</w:t>
      </w:r>
    </w:p>
    <w:p>
      <w:pPr>
        <w:numPr>
          <w:ilvl w:val="0"/>
          <w:numId w:val="2"/>
        </w:numPr>
      </w:pPr>
      <w:r>
        <w:rPr/>
        <w:t xml:space="preserve">Promote and encourage interactions among agriculture scientists, meteorologists, biologists (pathologists/entomologists), information technology professionals, and other stakeholders to develop and implement methods, techniques, and tools related to information processing technology in agriculture;</w:t>
      </w:r>
    </w:p>
    <w:p>
      <w:pPr>
        <w:numPr>
          <w:ilvl w:val="0"/>
          <w:numId w:val="2"/>
        </w:numPr>
      </w:pPr>
      <w:r>
        <w:rPr/>
        <w:t xml:space="preserve">Create and promote expert groups for the development of agro-meteorological databases, crop and livestock modeling, and applications for the development of crop performance-based decision support systems.</w:t>
      </w:r>
    </w:p>
    <w:p>
      <w:pPr/>
      <w:r>
        <w:rPr/>
        <w:t xml:space="preserve">Topics of interest include, but are not limited to, the following aspects:</w:t>
      </w:r>
    </w:p>
    <w:p>
      <w:pPr>
        <w:numPr>
          <w:ilvl w:val="0"/>
          <w:numId w:val="3"/>
        </w:numPr>
      </w:pPr>
      <w:r>
        <w:rPr/>
        <w:t xml:space="preserve">Smart sensors, biosensors and bioelectronics, material and molecular innovations for chemical and biological sensing, sensors, and automation and control systems for agriculture;</w:t>
      </w:r>
    </w:p>
    <w:p>
      <w:pPr>
        <w:numPr>
          <w:ilvl w:val="0"/>
          <w:numId w:val="3"/>
        </w:numPr>
      </w:pPr>
      <w:r>
        <w:rPr/>
        <w:t xml:space="preserve">Wireless sensor networks, 4G, NB-IOT, and 5G applications in agriculture;</w:t>
      </w:r>
    </w:p>
    <w:p>
      <w:pPr>
        <w:numPr>
          <w:ilvl w:val="0"/>
          <w:numId w:val="3"/>
        </w:numPr>
      </w:pPr>
      <w:r>
        <w:rPr/>
        <w:t xml:space="preserve">Remote sensing and discrete element modeling (DEM) applications in agriculture;</w:t>
      </w:r>
    </w:p>
    <w:p>
      <w:pPr>
        <w:numPr>
          <w:ilvl w:val="0"/>
          <w:numId w:val="3"/>
        </w:numPr>
      </w:pPr>
      <w:r>
        <w:rPr/>
        <w:t xml:space="preserve">Simulation, optimization, modeling, and automated control;</w:t>
      </w:r>
    </w:p>
    <w:p>
      <w:pPr>
        <w:numPr>
          <w:ilvl w:val="0"/>
          <w:numId w:val="3"/>
        </w:numPr>
      </w:pPr>
      <w:r>
        <w:rPr/>
        <w:t xml:space="preserve">Decision support systems, intelligent systems, and artificial intelligence;</w:t>
      </w:r>
    </w:p>
    <w:p>
      <w:pPr>
        <w:numPr>
          <w:ilvl w:val="0"/>
          <w:numId w:val="3"/>
        </w:numPr>
      </w:pPr>
      <w:r>
        <w:rPr/>
        <w:t xml:space="preserve">Machine vision, computer vision, image processing and automation, and imaging technologies for high-throughput phenotyping</w:t>
      </w:r>
    </w:p>
    <w:p>
      <w:pPr>
        <w:numPr>
          <w:ilvl w:val="0"/>
          <w:numId w:val="3"/>
        </w:numPr>
      </w:pPr>
      <w:r>
        <w:rPr/>
        <w:t xml:space="preserve">Advances in spectroscopy and hyperspectral properties of biological products;</w:t>
      </w:r>
    </w:p>
    <w:p>
      <w:pPr>
        <w:numPr>
          <w:ilvl w:val="0"/>
          <w:numId w:val="3"/>
        </w:numPr>
      </w:pPr>
      <w:r>
        <w:rPr/>
        <w:t xml:space="preserve">Advanced computational approaches for solving agricultural and biological engineering problems;</w:t>
      </w:r>
    </w:p>
    <w:p>
      <w:pPr>
        <w:numPr>
          <w:ilvl w:val="0"/>
          <w:numId w:val="3"/>
        </w:numPr>
      </w:pPr>
      <w:r>
        <w:rPr/>
        <w:t xml:space="preserve">Computational fluid dynamics (CFD) applications in agriculture;</w:t>
      </w:r>
    </w:p>
    <w:p>
      <w:pPr>
        <w:numPr>
          <w:ilvl w:val="0"/>
          <w:numId w:val="3"/>
        </w:numPr>
      </w:pPr>
      <w:r>
        <w:rPr/>
        <w:t xml:space="preserve">Inspection and traceability for food quality;</w:t>
      </w:r>
    </w:p>
    <w:p>
      <w:pPr>
        <w:numPr>
          <w:ilvl w:val="0"/>
          <w:numId w:val="3"/>
        </w:numPr>
      </w:pPr>
      <w:r>
        <w:rPr/>
        <w:t xml:space="preserve">Precision agriculture, intelligent instruments, robotics, and co-robotics for agriculture;</w:t>
      </w:r>
    </w:p>
    <w:p>
      <w:pPr>
        <w:numPr>
          <w:ilvl w:val="0"/>
          <w:numId w:val="3"/>
        </w:numPr>
      </w:pPr>
      <w:r>
        <w:rPr/>
        <w:t xml:space="preserve">Internet of things, cloud computing, and precision farming;</w:t>
      </w:r>
    </w:p>
    <w:p>
      <w:pPr>
        <w:numPr>
          <w:ilvl w:val="0"/>
          <w:numId w:val="3"/>
        </w:numPr>
      </w:pPr>
      <w:r>
        <w:rPr/>
        <w:t xml:space="preserve">Big data, data mining, and data analysis for agricultural applications;</w:t>
      </w:r>
    </w:p>
    <w:p>
      <w:pPr>
        <w:numPr>
          <w:ilvl w:val="0"/>
          <w:numId w:val="3"/>
        </w:numPr>
      </w:pPr>
      <w:r>
        <w:rPr/>
        <w:t xml:space="preserve">Unmanned aerial vehicles (UAVs) for sensing, imaging, and agricultural aquacultural applications.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Livestock prod., supply chains: multidiscip.</w:t>
      </w:r>
      <w:br/>
      <w:r>
        <w:rPr/>
        <w:t xml:space="preserve">Sciences and techniques: multidisciplinary</w:t>
      </w:r>
      <w:br/>
      <w:r>
        <w:rPr/>
        <w:t xml:space="preserve">Geomatics, remote sensing</w:t>
      </w:r>
      <w:br/>
      <w:r>
        <w:rPr/>
        <w:t xml:space="preserve">Modelling</w:t>
      </w:r>
      <w:br/>
      <w:r>
        <w:rPr/>
        <w:t xml:space="preserve">Mathematics, computer science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IPA</w:t>
      </w:r>
      <w:br/>
      <w:r>
        <w:rPr>
          <w:b w:val="1"/>
          <w:bCs w:val="1"/>
        </w:rPr>
        <w:t xml:space="preserve">Abbreviated title (ISO) : </w:t>
      </w:r>
      <w:r>
        <w:rPr/>
        <w:t xml:space="preserve">Inf. Process. Agric.</w:t>
      </w:r>
      <w:br/>
      <w:r>
        <w:rPr>
          <w:b w:val="1"/>
          <w:bCs w:val="1"/>
        </w:rPr>
        <w:t xml:space="preserve">ISSN : </w:t>
      </w:r>
      <w:r>
        <w:rPr/>
        <w:t xml:space="preserve">2214-3173 (ISSN-L); 2097-0153 (ISSN-Print); 2214-3173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2000 $. Pour les ciradiens, aucun accord national pour cette revue (updated 07/02/2025)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</w:t>
        </w:r>
      </w:hyperlink>
      <w:br/>
      <w:br/>
      <w:r>
        <w:rPr/>
        <w:t xml:space="preserve">Updated on </w:t>
      </w:r>
      <w:r>
        <w:rPr/>
        <w:t xml:space="preserve">07/02/2025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0A4B9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A239B9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384" TargetMode="External"/><Relationship Id="rId8" Type="http://schemas.openxmlformats.org/officeDocument/2006/relationships/hyperlink" Target="https://www.sciencedirect.com/journal/information-processing-in-agriculture" TargetMode="External"/><Relationship Id="rId9" Type="http://schemas.openxmlformats.org/officeDocument/2006/relationships/hyperlink" Target="https://www.sciencedirect.com/journal/information-processing-in-agriculture/publish/guide-for-authors" TargetMode="External"/><Relationship Id="rId10" Type="http://schemas.openxmlformats.org/officeDocument/2006/relationships/hyperlink" Target="https://www.elsevier.com/authors/tools-and-resources/research-data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2025-09-27T14:00:05+02:00</dcterms:created>
  <dcterms:modified xsi:type="dcterms:W3CDTF">2025-09-27T14:00:05+02:00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