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Public Policy</w:t>
      </w:r>
      <w:bookmarkEnd w:id="1"/>
    </w:p>
    <w:p>
      <w:hyperlink r:id="rId7" w:history="1">
        <w:r>
          <w:rPr>
            <w:color w:val="#0000ff"/>
          </w:rPr>
          <w:t xml:space="preserve">https://ou-publier.cirad.fr/en/node/6222</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https://www.inderscience.com/jhome.php?jcode=ijpp</w:t>
        </w:r>
      </w:hyperlink>
      <w:br/>
      <w:r>
        <w:rPr>
          <w:b w:val="1"/>
          <w:bCs w:val="1"/>
        </w:rPr>
        <w:t xml:space="preserve">Information for authors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Original language : </w:t>
      </w:r>
    </w:p>
    <w:p>
      <w:pPr/>
      <w:r>
        <w:rPr>
          <w:i w:val="1"/>
          <w:iCs w:val="1"/>
        </w:rPr>
        <w:t xml:space="preserve">IJPP</w:t>
      </w:r>
      <w:r>
        <w:rPr/>
        <w:t xml:space="preserve"> addresses public policy issues facing nation states and national/supranational organisations, including governments, and how these approach and solve common public policy problems. It highlights governance, accountability, creation of wealth/wellbeing, and implications policy choices have on nation states and citizens, acknowledging that public policy choice/execution is complex, has ramifications on the welfare of citizens, and that, despite national differences, the actions of nation states are constrained by policies determined by supranational bodies, some not directly accountable to any international body.</w:t>
      </w:r>
    </w:p>
    <w:p>
      <w:pPr/>
      <w:r>
        <w:rPr/>
        <w:t xml:space="preserve">The objectives of </w:t>
      </w:r>
      <w:r>
        <w:rPr>
          <w:i w:val="1"/>
          <w:iCs w:val="1"/>
        </w:rPr>
        <w:t xml:space="preserve">IJPP</w:t>
      </w:r>
      <w:r>
        <w:rPr/>
        <w:t xml:space="preserve"> are to establish an effective channel of communication between policy makers, government agencies, academic and research institutions and persons concerned with the complex role of public policy in society. It also aims to promote and disseminate reflection on debates and critiques of developments in the field of public policy, including factors impacting governance, accountability, and the determination and implementation of policy. The international dimension is emphasised in order to overcome cultural, political, economic and national barriers, and to meet the needs of policy makers.</w:t>
      </w:r>
    </w:p>
    <w:p>
      <w:pPr/>
    </w:p>
    <w:p>
      <w:pPr/>
      <w:r>
        <w:rPr>
          <w:b w:val="1"/>
          <w:bCs w:val="1"/>
        </w:rPr>
        <w:t xml:space="preserve">Topics : </w:t>
      </w:r>
      <w:r>
        <w:rPr/>
        <w:t xml:space="preserve"/>
      </w:r>
      <w:br/>
      <w:r>
        <w:rPr/>
        <w:t xml:space="preserve">Macro-economics and politics</w:t>
      </w:r>
      <w:br/>
      <w:r>
        <w:rPr/>
        <w:t xml:space="preserve">Sciences and societies, ethics</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1740-0600 (ISSN-L); 1740-0600 (ISSN-Print); 1740-0619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Conference proceedings, Special issues, Technical articles, Commentaries, Case studies, Research notes</w:t>
      </w:r>
      <w:br/>
      <w:br/>
      <w:r>
        <w:rPr>
          <w:b w:val="1"/>
          <w:bCs w:val="1"/>
        </w:rPr>
        <w:t xml:space="preserve">Publishing costs : </w:t>
      </w:r>
      <w:r>
        <w:rPr/>
        <w:t xml:space="preserve">No</w:t>
      </w:r>
      <w:br/>
      <w:r>
        <w:rPr>
          <w:b w:val="1"/>
          <w:bCs w:val="1"/>
        </w:rPr>
        <w:t xml:space="preserve">Cost of optional open access : </w:t>
      </w:r>
      <w:r>
        <w:rPr/>
        <w:t xml:space="preserve">3000 $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22" TargetMode="External"/><Relationship Id="rId8" Type="http://schemas.openxmlformats.org/officeDocument/2006/relationships/hyperlink" Target="https://www.inderscience.com/jhome.php?jcode=ijpp"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2024-11-23T06:56:25+01:00</dcterms:created>
  <dcterms:modified xsi:type="dcterms:W3CDTF">2024-11-23T06:56:25+01:00</dcterms:modified>
</cp:coreProperties>
</file>

<file path=docProps/custom.xml><?xml version="1.0" encoding="utf-8"?>
<Properties xmlns="http://schemas.openxmlformats.org/officeDocument/2006/custom-properties" xmlns:vt="http://schemas.openxmlformats.org/officeDocument/2006/docPropsVTypes"/>
</file>