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Research in Food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https://ou-publier.cirad.fr/en/node/6107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https://www.sciencedirect.com/journal/current-research-in-food-science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https://www.sciencedirect.com/journal/current-research-in-food-science/publish/guide-for-authors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Current Research in Food Science will focus on novel, high-impact research with scientific depth and a quantitative perspective. New science based on a model that is properly replicated and supported with sound statistical analysis of the data will be considered for peer-review. Computer simulations and "bootstrapping" approaches are also welcome. Authors with the most impactful studies will be asked to contribute a short Viewpoint paper for the issue. Please note, survey-type data papers or product development-oriented research are not within the scope of this journal.</w:t>
      </w:r>
      <w:br/>
      <w:r>
        <w:rPr/>
        <w:t xml:space="preserve">Topics covered in Current Research in Food Science include food chemistry, physics, microbiology, nutrition and nutraceuticals, process and package engineering, materials science, food sustainability, and food security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Food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2665-9271 (ISSN-L); 2665-9271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2770 $. Pour les Ciradiens, aucun coût à payer suite à un accord national pour la période 2024-2027 (https://intranet-dist.cirad.fr/publier/choisir-la-revue/accords-cirad-editeurs). (updated 17/12/2024)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07/02/2025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107" TargetMode="External"/><Relationship Id="rId8" Type="http://schemas.openxmlformats.org/officeDocument/2006/relationships/hyperlink" Target="https://www.sciencedirect.com/journal/current-research-in-food-science" TargetMode="External"/><Relationship Id="rId9" Type="http://schemas.openxmlformats.org/officeDocument/2006/relationships/hyperlink" Target="https://www.sciencedirect.com/journal/current-research-in-food-science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2025-09-27T02:50:43+02:00</dcterms:created>
  <dcterms:modified xsi:type="dcterms:W3CDTF">2025-09-27T02:50:43+02:00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