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https://onlinelibrary.wiley.com/page/journal/20531095/homepage/forauthors.html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Veterinary Medicine and Science</w:t>
      </w:r>
      <w:r>
        <w:rPr/>
        <w:t xml:space="preserve"> is a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</w:p>
    <w:p>
      <w:pPr/>
      <w:r>
        <w:rPr>
          <w:i w:val="1"/>
          <w:iCs w:val="1"/>
        </w:rPr>
        <w:t xml:space="preserve">Veterinary Medicine and Science</w:t>
      </w:r>
      <w:r>
        <w:rPr/>
        <w:t xml:space="preserve"> publishes original research articles, reviews, case reports, and opinion pieces, along with editorials and commentaries. Invited reviews are solicited by the Editor-in-Chief. Original research papers must report well-conducted research with conclusions supported by the data presented in the paper.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2900 €   (1215 € for Case studies) (updated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2025-09-27T03:12:53+02:00</dcterms:created>
  <dcterms:modified xsi:type="dcterms:W3CDTF">2025-09-27T03:12:53+02:00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