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https://ou-publier.cirad.fr/en/node/5363</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https://pubs.acs.org/journal/ascecg</w:t>
        </w:r>
      </w:hyperlink>
      <w:br/>
      <w:r>
        <w:rPr>
          <w:b w:val="1"/>
          <w:bCs w:val="1"/>
        </w:rPr>
        <w:t xml:space="preserve">Information for authors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Original language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Topics : </w:t>
      </w:r>
      <w:r>
        <w:rPr/>
        <w:t xml:space="preserve"/>
      </w:r>
      <w:br/>
      <w:r>
        <w:rPr/>
        <w:t xml:space="preserve">Energy</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ACS Sustain. Chem. Eng.</w:t>
      </w:r>
      <w:br/>
      <w:r>
        <w:rPr>
          <w:b w:val="1"/>
          <w:bCs w:val="1"/>
        </w:rPr>
        <w:t xml:space="preserve">ISSN : </w:t>
      </w:r>
      <w:r>
        <w:rPr/>
        <w:t xml:space="preserve">2168-0485 (ISSN-L); 2168-0485 (ISSN-Electronic)</w:t>
      </w:r>
      <w:br/>
      <w:r>
        <w:rPr>
          <w:b w:val="1"/>
          <w:bCs w:val="1"/>
        </w:rPr>
        <w:t xml:space="preserve">Frequency : </w:t>
      </w:r>
      <w:r>
        <w:rPr/>
        <w:t xml:space="preserve">Weekly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No</w:t>
      </w:r>
      <w:br/>
      <w:r>
        <w:rPr>
          <w:b w:val="1"/>
          <w:bCs w:val="1"/>
        </w:rPr>
        <w:t xml:space="preserve">Cost of optional open access : </w:t>
      </w:r>
      <w:r>
        <w:rPr/>
        <w:t xml:space="preserve">Variable selon licence CC choisie : 4000 dollars pour l'option la moins chère pour les non membres d'ACS (updated 03/04/2023)</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18/07/2023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2025-09-26T16:04:30+02:00</dcterms:created>
  <dcterms:modified xsi:type="dcterms:W3CDTF">2025-09-26T16:04:30+02:00</dcterms:modified>
</cp:coreProperties>
</file>

<file path=docProps/custom.xml><?xml version="1.0" encoding="utf-8"?>
<Properties xmlns="http://schemas.openxmlformats.org/officeDocument/2006/custom-properties" xmlns:vt="http://schemas.openxmlformats.org/officeDocument/2006/docPropsVTypes"/>
</file>