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Microbiology</w:t>
      </w:r>
      <w:bookmarkEnd w:id="1"/>
    </w:p>
    <w:p>
      <w:hyperlink r:id="rId7" w:history="1">
        <w:r>
          <w:rPr>
            <w:color w:val="#0000ff"/>
          </w:rPr>
          <w:t xml:space="preserve">https://ou-publier.cirad.fr/en/node/5245</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http://www.tandfonline.com/loi/imby20#.VnlcEcnqWxg</w:t>
        </w:r>
      </w:hyperlink>
      <w:br/>
      <w:r>
        <w:rPr>
          <w:b w:val="1"/>
          <w:bCs w:val="1"/>
        </w:rPr>
        <w:t xml:space="preserve">Information for authors : </w:t>
      </w:r>
      <w:hyperlink r:id="rId9" w:history="1">
        <w:r>
          <w:rPr>
            <w:color w:val="#0000ff"/>
          </w:rPr>
          <w:t xml:space="preserve">https://www.tandfonline.com/action/authorSubmission?show=instructions&amp;journalCode=imby20</w:t>
        </w:r>
      </w:hyperlink>
      <w:br/>
      <w:br/>
      <w:r>
        <w:rPr>
          <w:b w:val="1"/>
          <w:bCs w:val="1"/>
        </w:rPr>
        <w:t xml:space="preserve">Présentation de la revue</w:t>
      </w:r>
      <w:br/>
      <w:r>
        <w:rPr>
          <w:b w:val="1"/>
          <w:bCs w:val="1"/>
        </w:rPr>
        <w:t xml:space="preserve">Original language : </w:t>
      </w:r>
    </w:p>
    <w:p>
      <w:pPr/>
      <w:r>
        <w:rPr/>
        <w:t xml:space="preserve">Critical Reviews in Microbiology publishes comprehensive reviews covering all areas of microbiology relevant to humans and animals, including medical and veterinary microbiology, public health and environmental microbiology. These may include subjects related to microbial molecular biology, immunopathogenicity, physiology, biochemistry, structure, and epidemiology. Of particular interest are reviews covering clinical aspects of bacterial, virological, fungal and parasitic diseases. All reviews must be analytical, comprehensive, and balanced in nature. Editors welcome uninvited submissions, as well as suggested topics for reviews accompanied by an abstract.</w:t>
      </w:r>
    </w:p>
    <w:p>
      <w:pPr/>
    </w:p>
    <w:p>
      <w:pPr/>
      <w:r>
        <w:rPr>
          <w:b w:val="1"/>
          <w:bCs w:val="1"/>
        </w:rPr>
        <w:t xml:space="preserve">Topics : </w:t>
      </w:r>
      <w:r>
        <w:rPr/>
        <w:t xml:space="preserve"/>
      </w:r>
      <w:br/>
      <w:r>
        <w:rPr/>
        <w:t xml:space="preserve">Diseases, pathogens, control</w:t>
      </w:r>
      <w:br/>
      <w:r>
        <w:rPr/>
        <w:t xml:space="preserve">World health, public health</w:t>
      </w:r>
      <w:br/>
      <w:r>
        <w:rPr/>
        <w:t xml:space="preserve">Human health</w:t>
      </w:r>
      <w:br/>
      <w:r>
        <w:rPr/>
        <w:t xml:space="preserve">Microbiology: multidiscip.</w:t>
      </w:r>
      <w:br/>
      <w:br/>
      <w:r>
        <w:rPr>
          <w:b w:val="1"/>
          <w:bCs w:val="1"/>
        </w:rPr>
        <w:t xml:space="preserve">Open access : </w:t>
      </w:r>
      <w:r>
        <w:rPr/>
        <w:t xml:space="preserve">Author-paid optional open access, Open access with embargo &lt;=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Crit. Rev. Microbiol.</w:t>
      </w:r>
      <w:br/>
      <w:r>
        <w:rPr>
          <w:b w:val="1"/>
          <w:bCs w:val="1"/>
        </w:rPr>
        <w:t xml:space="preserve">ISSN : </w:t>
      </w:r>
      <w:r>
        <w:rPr/>
        <w:t xml:space="preserve">1040-841X (ISSN-L); 1040-841X (ISSN-Print); 1549-7828 (ISSN-Electronic)</w:t>
      </w:r>
      <w:br/>
      <w:r>
        <w:rPr>
          <w:b w:val="1"/>
          <w:bCs w:val="1"/>
        </w:rPr>
        <w:t xml:space="preserve">Frequency : </w:t>
      </w:r>
      <w:r>
        <w:rPr/>
        <w:t xml:space="preserve">4 issues/year (Quarterly)</w:t>
      </w:r>
      <w:br/>
      <w:r>
        <w:rPr>
          <w:b w:val="1"/>
          <w:bCs w:val="1"/>
        </w:rPr>
        <w:t xml:space="preserve">Additional information : </w:t>
      </w:r>
    </w:p>
    <w:p>
      <w:pPr/>
      <w:r>
        <w:rPr/>
        <w:t xml:space="preserve">Délai de libre accès aux articles sur le site de l'éditeur : 12 mois après parution.</w:t>
      </w:r>
    </w:p>
    <w:p>
      <w:pPr/>
      <w:br/>
      <w:r>
        <w:rPr>
          <w:b w:val="1"/>
          <w:bCs w:val="1"/>
        </w:rPr>
        <w:t xml:space="preserve">Article types : </w:t>
      </w:r>
      <w:r>
        <w:rPr/>
        <w:t xml:space="preserve">Reviews</w:t>
      </w:r>
      <w:br/>
      <w:br/>
      <w:r>
        <w:rPr>
          <w:b w:val="1"/>
          <w:bCs w:val="1"/>
        </w:rPr>
        <w:t xml:space="preserve">Publishing costs : </w:t>
      </w:r>
      <w:r>
        <w:rPr/>
        <w:t xml:space="preserve">No</w:t>
      </w:r>
      <w:br/>
      <w:r>
        <w:rPr>
          <w:b w:val="1"/>
          <w:bCs w:val="1"/>
        </w:rPr>
        <w:t xml:space="preserve">Cost of optional open access : </w:t>
      </w:r>
      <w:r>
        <w:rPr/>
        <w:t xml:space="preserve">3715 Euros (réduction pour les pays du Sud) (updated 01/01/2021)</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20/07/2022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45" TargetMode="External"/><Relationship Id="rId8" Type="http://schemas.openxmlformats.org/officeDocument/2006/relationships/hyperlink" Target="http://www.tandfonline.com/loi/imby20#.VnlcEcnqWxg" TargetMode="External"/><Relationship Id="rId9" Type="http://schemas.openxmlformats.org/officeDocument/2006/relationships/hyperlink" Target="https://www.tandfonline.com/action/authorSubmission?show=instructions&amp;journalCode=imby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2024-11-05T03:24:35+01:00</dcterms:created>
  <dcterms:modified xsi:type="dcterms:W3CDTF">2024-11-05T03:24:35+01:00</dcterms:modified>
</cp:coreProperties>
</file>

<file path=docProps/custom.xml><?xml version="1.0" encoding="utf-8"?>
<Properties xmlns="http://schemas.openxmlformats.org/officeDocument/2006/custom-properties" xmlns:vt="http://schemas.openxmlformats.org/officeDocument/2006/docPropsVTypes"/>
</file>