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Geosciences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http://www.journals.elsevier.com/computers-and-geosciences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http://www.elsevier.com/journals/computers-and-geosciences/0098-3004/guide-for-authors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Computers &amp; Geosciences</w:t>
      </w:r>
      <w:r>
        <w:rPr/>
        <w:t xml:space="preserve"> publishes high impact, original research at the interface between Computer Sciences and Geosciences. Publications should apply modern computer science paradigms, whether computational or informatics-based, to address problems in the geoscience:.</w:t>
      </w:r>
    </w:p>
    <w:p>
      <w:pPr>
        <w:numPr>
          <w:ilvl w:val="0"/>
          <w:numId w:val="2"/>
        </w:numPr>
      </w:pPr>
      <w:r>
        <w:rPr/>
        <w:t xml:space="preserve">Computational/informatics elements may include: computational methods; algorithms; data models; database retrieval; information retrieval; near and remote sensing data analysis; data processing; artificial intelligence; computer graphics; computer visualization; programming languages; parallel systems; distributed systems; the World-Wide Web; social media; ontologies; and software engineering.</w:t>
      </w:r>
    </w:p>
    <w:p>
      <w:pPr>
        <w:numPr>
          <w:ilvl w:val="0"/>
          <w:numId w:val="2"/>
        </w:numPr>
      </w:pPr>
      <w:r>
        <w:rPr/>
        <w:t xml:space="preserve">Geoscientific topics of interest include: mineralogy; petrology; geochemistry; geomorphology; paleontology; stratigraphy; structural geology; sedimentology; hydrology; hydrogeology; oceanography; atmospheric sciences; climatology; meteorology; geophysics; geomatics; seismology; geodesy; paleogeography; environmental science; soil science; glaciology.</w:t>
      </w:r>
    </w:p>
    <w:p>
      <w:pPr>
        <w:numPr>
          <w:ilvl w:val="0"/>
          <w:numId w:val="2"/>
        </w:numPr>
      </w:pPr>
      <w:r>
        <w:rPr/>
        <w:t xml:space="preserve">Other fields may be considered but are not regarded as a priority.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Geosci.</w:t>
      </w:r>
      <w:br/>
      <w:r>
        <w:rPr>
          <w:b w:val="1"/>
          <w:bCs w:val="1"/>
        </w:rPr>
        <w:t xml:space="preserve">ISSN : </w:t>
      </w:r>
      <w:r>
        <w:rPr/>
        <w:t xml:space="preserve">0098-3004 (ISSN-L); 0098-3004 (ISSN-Print); 1873-7803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3630 $.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1F3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47" TargetMode="External"/><Relationship Id="rId8" Type="http://schemas.openxmlformats.org/officeDocument/2006/relationships/hyperlink" Target="http://www.journals.elsevier.com/computers-and-geosciences" TargetMode="External"/><Relationship Id="rId9" Type="http://schemas.openxmlformats.org/officeDocument/2006/relationships/hyperlink" Target="http://www.elsevier.com/journals/computers-and-geosciences/0098-3004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2025-09-27T14:08:59+02:00</dcterms:created>
  <dcterms:modified xsi:type="dcterms:W3CDTF">2025-09-27T14:08:59+02:00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