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https://ou-publier.cirad.fr/en/node/4328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Quarterly publishes review and research articles in the field of animal diseases. Articles that describe the pathophysiology of a specific animal disease, a newly recognized disease or an important variation of a well-recognized disease are welcome.</w:t>
      </w:r>
      <w:br/>
      <w:r>
        <w:rPr/>
        <w:t xml:space="preserve">Veterinary Quarterly accepts papers on a range of different animal species and topics including: Wildlife species</w:t>
      </w:r>
      <w:br/>
      <w:r>
        <w:rPr/>
        <w:t xml:space="preserve">Infectious diseases; Pharmacology and vaccination; Economically important species, such as domesticated and non-domesticated farm animals ; Companion animals.</w:t>
      </w:r>
      <w:br/>
      <w:r>
        <w:rPr/>
        <w:t xml:space="preserve">The following article types are not published within Veterinary Quarterly: Epidemiologic and/or questionnaire driven research or Animal models for human research.</w:t>
      </w:r>
      <w:br/>
      <w:r>
        <w:rPr/>
        <w:t xml:space="preserve">Single case reports or short communications describing a newly recognized disease or important variation of a well-recognized disease are welcome.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(ISSN-Print); 1875-5941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1090 Euros pour les articles classiques et 730 Euros pour les articles courts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2024-11-22T02:01:20+01:00</dcterms:created>
  <dcterms:modified xsi:type="dcterms:W3CDTF">2024-11-22T02:01:20+01:00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