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Management</w:t>
      </w:r>
      <w:bookmarkEnd w:id="1"/>
    </w:p>
    <w:p>
      <w:hyperlink r:id="rId7" w:history="1">
        <w:r>
          <w:rPr>
            <w:color w:val="#0000ff"/>
          </w:rPr>
          <w:t xml:space="preserve">https://ou-publier.cirad.fr/en/node/3965</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http://www.emeraldinsight.com/journal/scm</w:t>
        </w:r>
      </w:hyperlink>
      <w:br/>
      <w:r>
        <w:rPr>
          <w:b w:val="1"/>
          <w:bCs w:val="1"/>
        </w:rPr>
        <w:t xml:space="preserve">Information for authors : </w:t>
      </w:r>
      <w:hyperlink r:id="rId9" w:history="1">
        <w:r>
          <w:rPr>
            <w:color w:val="#0000ff"/>
          </w:rPr>
          <w:t xml:space="preserve">http://emeraldgrouppublishing.com/products/journals/author_guidelines.htm?id=scm</w:t>
        </w:r>
      </w:hyperlink>
      <w:br/>
      <w:br/>
      <w:r>
        <w:rPr>
          <w:b w:val="1"/>
          <w:bCs w:val="1"/>
        </w:rPr>
        <w:t xml:space="preserve">Présentation de la revue</w:t>
      </w:r>
      <w:br/>
      <w:r>
        <w:rPr>
          <w:b w:val="1"/>
          <w:bCs w:val="1"/>
        </w:rPr>
        <w:t xml:space="preserve">Original language : </w:t>
      </w:r>
    </w:p>
    <w:p>
      <w:pPr/>
      <w:r>
        <w:rPr/>
        <w:t xml:space="preserve">The journal is broad based, but with a strategic focus, covering aspects of marketing, logistics and information technology, economics, management and organizational behaviour in relation to the operation of supply chains in all sectors. The journal aims to encourage the development and implementation of supply chain systems which achieve higher levels of service and substantial savings in costs. With the globalization of business comes increased cross-border activity and new investment in overseas economies, both developed and developing. Whilst this brings new opportunities, both for the companies investing and the economies in which they invest, it also brings additional costs, particularly in terms of risk management and the logistics of multiple sourcing for multi-product enterprises. The journal will focus on these and associated issues to bring the research focus of academics closer to the practical problems facing commercial managers in a rapidly changing business environment. SCM:IJ is targeted at academics and practitioners in both public and private sector organisations working on all aspects of vertical co-ordination and process integration. The journal promotes the exchange of knowledge, experience and new ideas between researchers and practitioners and encourages a multi-disciplinary and cross-functional approach to the resolution of problems and the exploitation of opportunities within supply chains that extend beyond the buyer-supply interface.</w:t>
      </w:r>
    </w:p>
    <w:p>
      <w:pPr/>
    </w:p>
    <w:p>
      <w:pPr/>
      <w:r>
        <w:rPr>
          <w:b w:val="1"/>
          <w:bCs w:val="1"/>
        </w:rPr>
        <w:t xml:space="preserve">Topics : </w:t>
      </w:r>
      <w:r>
        <w:rPr/>
        <w:t xml:space="preserve"/>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Supply Chain Manag.</w:t>
      </w:r>
      <w:br/>
      <w:r>
        <w:rPr>
          <w:b w:val="1"/>
          <w:bCs w:val="1"/>
        </w:rPr>
        <w:t xml:space="preserve">ISSN : </w:t>
      </w:r>
      <w:r>
        <w:rPr/>
        <w:t xml:space="preserve">1359-8546 (ISSN-L); 1359-8546 (ISSN-Print); 1758-6852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Special issues, Technical articles, Case studies, Opinions</w:t>
      </w:r>
      <w:br/>
      <w:br/>
      <w:r>
        <w:rPr>
          <w:b w:val="1"/>
          <w:bCs w:val="1"/>
        </w:rPr>
        <w:t xml:space="preserve">Publishing costs : </w:t>
      </w:r>
      <w:r>
        <w:rPr/>
        <w:t xml:space="preserve">No</w:t>
      </w:r>
      <w:br/>
      <w:r>
        <w:rPr>
          <w:b w:val="1"/>
          <w:bCs w:val="1"/>
        </w:rPr>
        <w:t xml:space="preserve">Cost of optional open access : </w:t>
      </w:r>
      <w:r>
        <w:rPr/>
        <w:t xml:space="preserve">3500 € (updated 07/01/2025)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5" TargetMode="External"/><Relationship Id="rId8" Type="http://schemas.openxmlformats.org/officeDocument/2006/relationships/hyperlink" Target="http://www.emeraldinsight.com/journal/scm" TargetMode="External"/><Relationship Id="rId9" Type="http://schemas.openxmlformats.org/officeDocument/2006/relationships/hyperlink" Target="http://emeraldgrouppublishing.com/products/journals/author_guidelines.htm?id=sc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2025-09-26T23:30:52+02:00</dcterms:created>
  <dcterms:modified xsi:type="dcterms:W3CDTF">2025-09-26T23:30:52+02:00</dcterms:modified>
</cp:coreProperties>
</file>

<file path=docProps/custom.xml><?xml version="1.0" encoding="utf-8"?>
<Properties xmlns="http://schemas.openxmlformats.org/officeDocument/2006/custom-properties" xmlns:vt="http://schemas.openxmlformats.org/officeDocument/2006/docPropsVTypes"/>
</file>