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Regulation and Governance</w:t>
      </w:r>
      <w:bookmarkEnd w:id="1"/>
    </w:p>
    <w:p>
      <w:hyperlink r:id="rId7" w:history="1">
        <w:r>
          <w:rPr>
            <w:color w:val="#0000ff"/>
          </w:rPr>
          <w:t xml:space="preserve">https://ou-publier.cirad.fr/en/node/3861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http://onlinelibrary.wiley.com/journal/10.1111/%28ISSN%291748-5991</w:t>
        </w:r>
      </w:hyperlink>
      <w:br/>
      <w:r>
        <w:rPr>
          <w:b w:val="1"/>
          <w:bCs w:val="1"/>
        </w:rPr>
        <w:t xml:space="preserve">Information for authors : </w:t>
      </w:r>
      <w:hyperlink r:id="rId9" w:history="1">
        <w:r>
          <w:rPr>
            <w:color w:val="#0000ff"/>
          </w:rPr>
          <w:t xml:space="preserve">https://onlinelibrary.wiley.com/page/journal/17485991/homepage/forauthors.html</w:t>
        </w:r>
      </w:hyperlink>
      <w:br/>
      <w:br/>
      <w:r>
        <w:rPr>
          <w:b w:val="1"/>
          <w:bCs w:val="1"/>
        </w:rPr>
        <w:t xml:space="preserve">Présentation de la revue</w:t>
      </w:r>
      <w:br/>
      <w:r>
        <w:rPr>
          <w:b w:val="1"/>
          <w:bCs w:val="1"/>
        </w:rPr>
        <w:t xml:space="preserve">Original language : </w:t>
      </w:r>
    </w:p>
    <w:p>
      <w:pPr/>
      <w:r>
        <w:rPr>
          <w:i w:val="1"/>
          <w:iCs w:val="1"/>
        </w:rPr>
        <w:t xml:space="preserve">Regulation &amp; Governance</w:t>
      </w:r>
      <w:r>
        <w:rPr/>
        <w:t xml:space="preserve"> is the leading journal dedicated to the study of regulatory governance for academics across political science, law, psychology, criminology, sociology, organization and public management, economics and the social sciences, as well as regulators and legal experts in business and civil society. We publish interdisciplinary research on regulation, governance, and emerging associated challenges worldwide, with broad implications beyond geographic and intellectual boundaries.</w:t>
      </w:r>
    </w:p>
    <w:p>
      <w:pPr/>
      <w:r>
        <w:rPr/>
        <w:t xml:space="preserve">We publish a range of article types to communicate significant findings and novel theoretical arguments, as well as new insights and emerging directions for study. Our expert editorial board and reviewer network is committed to open and critical dialogue to refine your paper to the highest possible standard.</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Regulation &amp; Governance</w:t>
      </w:r>
      <w:br/>
      <w:r>
        <w:rPr>
          <w:b w:val="1"/>
          <w:bCs w:val="1"/>
        </w:rPr>
        <w:t xml:space="preserve">Abbreviated title (ISO) : </w:t>
      </w:r>
      <w:r>
        <w:rPr/>
        <w:t xml:space="preserve">Regul. Gov.</w:t>
      </w:r>
      <w:br/>
      <w:r>
        <w:rPr>
          <w:b w:val="1"/>
          <w:bCs w:val="1"/>
        </w:rPr>
        <w:t xml:space="preserve">ISSN : </w:t>
      </w:r>
      <w:r>
        <w:rPr/>
        <w:t xml:space="preserve">1748-5983 (ISSN-L); 1748-5983 (ISSN-Print); 1748-5991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Conference reports, Research notes</w:t>
      </w:r>
      <w:br/>
      <w:br/>
      <w:r>
        <w:rPr>
          <w:b w:val="1"/>
          <w:bCs w:val="1"/>
        </w:rPr>
        <w:t xml:space="preserve">Publishing costs : </w:t>
      </w:r>
      <w:r>
        <w:rPr/>
        <w:t xml:space="preserve">No</w:t>
      </w:r>
      <w:br/>
      <w:r>
        <w:rPr>
          <w:b w:val="1"/>
          <w:bCs w:val="1"/>
        </w:rPr>
        <w:t xml:space="preserve">Cost of optional open access : </w:t>
      </w:r>
      <w:r>
        <w:rPr/>
        <w:t xml:space="preserve">3750 € (updated 11/12/2024)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1" TargetMode="External"/><Relationship Id="rId8" Type="http://schemas.openxmlformats.org/officeDocument/2006/relationships/hyperlink" Target="http://onlinelibrary.wiley.com/journal/10.1111/%28ISSN%291748-5991" TargetMode="External"/><Relationship Id="rId9" Type="http://schemas.openxmlformats.org/officeDocument/2006/relationships/hyperlink" Target="https://onlinelibrary.wiley.com/page/journal/1748599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2025-09-27T07:55:35+02:00</dcterms:created>
  <dcterms:modified xsi:type="dcterms:W3CDTF">2025-09-27T07:55:35+02:00</dcterms:modified>
</cp:coreProperties>
</file>

<file path=docProps/custom.xml><?xml version="1.0" encoding="utf-8"?>
<Properties xmlns="http://schemas.openxmlformats.org/officeDocument/2006/custom-properties" xmlns:vt="http://schemas.openxmlformats.org/officeDocument/2006/docPropsVTypes"/>
</file>