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Cryptogamie Mycologie</w:t>
      </w:r>
      <w:bookmarkEnd w:id="1"/>
    </w:p>
    <w:p>
      <w:hyperlink r:id="rId7" w:history="1">
        <w:r>
          <w:rPr>
            <w:color w:val="#0000ff"/>
          </w:rPr>
          <w:t xml:space="preserve">https://ou-publier.cirad.fr/en/node/3784</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http://sciencepress.mnhn.fr/fr/periodiques/mycologie</w:t>
        </w:r>
      </w:hyperlink>
      <w:br/>
      <w:r>
        <w:rPr>
          <w:b w:val="1"/>
          <w:bCs w:val="1"/>
        </w:rPr>
        <w:t xml:space="preserve">Information for authors : </w:t>
      </w:r>
      <w:hyperlink r:id="rId9" w:history="1">
        <w:r>
          <w:rPr>
            <w:color w:val="#0000ff"/>
          </w:rPr>
          <w:t xml:space="preserve">https://sciencepress.mnhn.fr/sites/default/files/periodiques/pdf/guidelines-mycologie-fr.pdf</w:t>
        </w:r>
      </w:hyperlink>
      <w:br/>
      <w:br/>
      <w:r>
        <w:rPr>
          <w:b w:val="1"/>
          <w:bCs w:val="1"/>
        </w:rPr>
        <w:t xml:space="preserve">Présentation de la revue</w:t>
      </w:r>
      <w:br/>
      <w:r>
        <w:rPr>
          <w:b w:val="1"/>
          <w:bCs w:val="1"/>
        </w:rPr>
        <w:t xml:space="preserve">Original language : </w:t>
      </w:r>
    </w:p>
    <w:p>
      <w:pPr/>
      <w:r>
        <w:rPr>
          <w:i w:val="1"/>
          <w:iCs w:val="1"/>
        </w:rPr>
        <w:t xml:space="preserve">Cryptogamie</w:t>
      </w:r>
      <w:r>
        <w:rPr/>
        <w:t xml:space="preserve"> est une revue </w:t>
      </w:r>
      <w:r>
        <w:rPr>
          <w:b w:val="1"/>
          <w:bCs w:val="1"/>
        </w:rPr>
        <w:t xml:space="preserve">en flux continu, évaluée par les pairs</w:t>
      </w:r>
      <w:r>
        <w:rPr/>
        <w:t xml:space="preserve">, publiant des résultats originaux de recherche en langue anglaise. Les articles scientifiques, ainsi que les revues d’articles en taxonomie, biologie et écologie de tous les cryptogames, sont acceptés. Un numéro de </w:t>
      </w:r>
      <w:r>
        <w:rPr>
          <w:i w:val="1"/>
          <w:iCs w:val="1"/>
        </w:rPr>
        <w:t xml:space="preserve">Cryptogamie</w:t>
      </w:r>
      <w:r>
        <w:rPr/>
        <w:t xml:space="preserve"> pourra être consacré au débat contradictoire sur un sujet d'actualité ou sur un thème donné sous la responsabilité d'éditeur(s) invité(s). Tous les articles publiés dans </w:t>
      </w:r>
      <w:r>
        <w:rPr>
          <w:i w:val="1"/>
          <w:iCs w:val="1"/>
        </w:rPr>
        <w:t xml:space="preserve">Cryptogamie</w:t>
      </w:r>
      <w:r>
        <w:rPr/>
        <w:t xml:space="preserve"> respectent les différents codes de nomenclature (</w:t>
      </w:r>
      <w:hyperlink r:id="rId10" w:history="1">
        <w:r>
          <w:rPr>
            <w:color w:val="0000ff"/>
            <w:b w:val="1"/>
            <w:bCs w:val="1"/>
          </w:rPr>
          <w:t xml:space="preserve">ICZN</w:t>
        </w:r>
      </w:hyperlink>
      <w:r>
        <w:rPr/>
        <w:t xml:space="preserve">, </w:t>
      </w:r>
      <w:hyperlink r:id="rId11" w:history="1">
        <w:r>
          <w:rPr>
            <w:color w:val="0000ff"/>
            <w:b w:val="1"/>
            <w:bCs w:val="1"/>
          </w:rPr>
          <w:t xml:space="preserve">ICN</w:t>
        </w:r>
      </w:hyperlink>
      <w:r>
        <w:rPr/>
        <w:t xml:space="preserve">). Une </w:t>
      </w:r>
      <w:r>
        <w:rPr>
          <w:b w:val="1"/>
          <w:bCs w:val="1"/>
        </w:rPr>
        <w:t xml:space="preserve">cession de droit non exclusive </w:t>
      </w:r>
      <w:r>
        <w:rPr/>
        <w:t xml:space="preserve">devra être signée par les auteurs avant publication.</w:t>
      </w:r>
    </w:p>
    <w:p>
      <w:pPr/>
      <w:r>
        <w:rPr>
          <w:i w:val="1"/>
          <w:iCs w:val="1"/>
        </w:rPr>
        <w:t xml:space="preserve">Cryptogamie, Mycologie</w:t>
      </w:r>
      <w:r>
        <w:rPr/>
        <w:t xml:space="preserve"> publie des articles sur la taxinomie, la systématique, la phylogénie ou l'écologie des espèces fongiques, y compris pour des groupes traditionnellement étudiés par des mycologues, comme les oomycètes ou myxomycètes, mais qui ne font plus partie du règne fongique. Des manuscrits traitant principalement des caractères chimiques, purement floristiques ou ethnomycologiques sont fortement découragés.</w:t>
      </w:r>
    </w:p>
    <w:p>
      <w:pPr/>
    </w:p>
    <w:p>
      <w:pPr/>
      <w:r>
        <w:rPr>
          <w:b w:val="1"/>
          <w:bCs w:val="1"/>
        </w:rPr>
        <w:t xml:space="preserve">Topics : </w:t>
      </w:r>
      <w:r>
        <w:rPr/>
        <w:t xml:space="preserve"/>
      </w:r>
      <w:br/>
      <w:r>
        <w:rPr/>
        <w:t xml:space="preserve">Plant biology</w:t>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Revue de Mycologie</w:t>
      </w:r>
      <w:br/>
      <w:r>
        <w:rPr>
          <w:b w:val="1"/>
          <w:bCs w:val="1"/>
        </w:rPr>
        <w:t xml:space="preserve">Abbreviated title (ISO) : </w:t>
      </w:r>
      <w:r>
        <w:rPr/>
        <w:t xml:space="preserve">Cryptogam. Mycol.</w:t>
      </w:r>
      <w:br/>
      <w:r>
        <w:rPr>
          <w:b w:val="1"/>
          <w:bCs w:val="1"/>
        </w:rPr>
        <w:t xml:space="preserve">ISSN : </w:t>
      </w:r>
      <w:r>
        <w:rPr/>
        <w:t xml:space="preserve">0181-1584 (ISSN-L); 0181-1584 (ISSN-Print); 1776-100X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84" TargetMode="External"/><Relationship Id="rId8" Type="http://schemas.openxmlformats.org/officeDocument/2006/relationships/hyperlink" Target="http://sciencepress.mnhn.fr/fr/periodiques/mycologie" TargetMode="External"/><Relationship Id="rId9" Type="http://schemas.openxmlformats.org/officeDocument/2006/relationships/hyperlink" Target="https://sciencepress.mnhn.fr/sites/default/files/periodiques/pdf/guidelines-mycologie-fr.pdf" TargetMode="External"/><Relationship Id="rId10" Type="http://schemas.openxmlformats.org/officeDocument/2006/relationships/hyperlink" Target="https://www.iczn.org/" TargetMode="External"/><Relationship Id="rId11" Type="http://schemas.openxmlformats.org/officeDocument/2006/relationships/hyperlink" Target="https://www.iapt-taxon.org/nomen/main.php"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2024-11-22T11:24:02+01:00</dcterms:created>
  <dcterms:modified xsi:type="dcterms:W3CDTF">2024-11-22T11:24:02+01:00</dcterms:modified>
</cp:coreProperties>
</file>

<file path=docProps/custom.xml><?xml version="1.0" encoding="utf-8"?>
<Properties xmlns="http://schemas.openxmlformats.org/officeDocument/2006/custom-properties" xmlns:vt="http://schemas.openxmlformats.org/officeDocument/2006/docPropsVTypes"/>
</file>