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Entomology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https://ou-publier.cirad.fr/en/node/3383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ESA - Entomological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http://ee.oxfordjournals.org/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http://ee.oxfordjournals.org/for_authors/index.html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http://www.entsoc.org/resources/journals-and-publications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reports on the interaction of insects with the biological, chemical, and physical aspects of their environment and is divided into the following sections: physiological ecology; chemical ecology; population ecology; quantitative ecology; community and ecosystem ecology; biological control­-parasitoids and predators; biological control-microbials; biological control-weeds; behavior; pest management; sampling; plant-insect interactions; molecular ecology and evolution; transgenic plants and insects.</w:t>
      </w:r>
    </w:p>
    <w:p/>
    <w:p>
      <w:pPr/>
      <w:r>
        <w:rPr/>
        <w:t xml:space="preserve">Manuscripts that describe entomological techniques and computer software programs generally are not considered for publication in the journals.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Environ. Entomol.</w:t>
      </w:r>
      <w:br/>
      <w:r>
        <w:rPr>
          <w:b w:val="1"/>
          <w:bCs w:val="1"/>
        </w:rPr>
        <w:t xml:space="preserve">ISSN : </w:t>
      </w:r>
      <w:r>
        <w:rPr/>
        <w:t xml:space="preserve">0046-225X (ISSN-L); 0046-225X (ISSN-Print); 1938-2936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Texte intégral accessible via BioOne. Embargo : Dépôt de la version acceptée (post-print) sur archive ouverte possible 12 mois après parution des articles.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Opinions, Letters, Forum, Commentaries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3108 Euros (réduction pour les auteurs des pays du Sud) (updated 01/01/2021)</w:t>
      </w:r>
      <w:br/>
      <w:r>
        <w:rPr>
          <w:b w:val="1"/>
          <w:bCs w:val="1"/>
        </w:rPr>
        <w:t xml:space="preserve">Total publishing costs : </w:t>
      </w:r>
      <w:r>
        <w:rPr/>
        <w:t xml:space="preserve">102 Euros/page (non membres) ou 65 Euros/page (membres de l'ESA)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https://academic.oup.com/journals/pages/authors/preparing_your_manuscript/research-data-policy#choosing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83" TargetMode="External"/><Relationship Id="rId8" Type="http://schemas.openxmlformats.org/officeDocument/2006/relationships/hyperlink" Target="http://ee.oxfordjournals.org/" TargetMode="External"/><Relationship Id="rId9" Type="http://schemas.openxmlformats.org/officeDocument/2006/relationships/hyperlink" Target="http://ee.oxfordjournals.org/for_authors/index.html" TargetMode="External"/><Relationship Id="rId10" Type="http://schemas.openxmlformats.org/officeDocument/2006/relationships/hyperlink" Target="http://www.entsoc.org/resources/journals-and-publications" TargetMode="External"/><Relationship Id="rId11" Type="http://schemas.openxmlformats.org/officeDocument/2006/relationships/hyperlink" Target="https://academic.oup.com/journals/pages/authors/preparing_your_manuscript/research-data-policy#choos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2024-11-22T17:49:47+01:00</dcterms:created>
  <dcterms:modified xsi:type="dcterms:W3CDTF">2024-11-22T17:49:47+01:00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