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Cultural Trends</w:t>
      </w:r>
      <w:bookmarkEnd w:id="1"/>
    </w:p>
    <w:p>
      <w:hyperlink r:id="rId7" w:history="1">
        <w:r>
          <w:rPr>
            <w:color w:val="#0000ff"/>
          </w:rPr>
          <w:t xml:space="preserve">https://ou-publier.cirad.fr/node/6381</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https://www.tandfonline.com/journals/ccut20</w:t>
        </w:r>
      </w:hyperlink>
      <w:br/>
      <w:r>
        <w:rPr>
          <w:b w:val="1"/>
          <w:bCs w:val="1"/>
        </w:rPr>
        <w:t xml:space="preserve">Informations aux auteurs : </w:t>
      </w:r>
      <w:hyperlink r:id="rId9" w:history="1">
        <w:r>
          <w:rPr>
            <w:color w:val="#0000ff"/>
          </w:rPr>
          <w:t xml:space="preserve">https://www.tandfonline.com/action/authorSubmission?show=instructions&amp;journalCode=ccut20</w:t>
        </w:r>
      </w:hyperlink>
      <w:br/>
      <w:br/>
      <w:r>
        <w:rPr>
          <w:b w:val="1"/>
          <w:bCs w:val="1"/>
        </w:rPr>
        <w:t xml:space="preserve">Présentation de la revue</w:t>
      </w:r>
      <w:br/>
      <w:r>
        <w:rPr>
          <w:b w:val="1"/>
          <w:bCs w:val="1"/>
        </w:rPr>
        <w:t xml:space="preserve">Langue originale : </w:t>
      </w:r>
    </w:p>
    <w:p>
      <w:pPr/>
      <w:r>
        <w:rPr>
          <w:i w:val="1"/>
          <w:iCs w:val="1"/>
        </w:rPr>
        <w:t xml:space="preserve">Cultural Trends</w:t>
      </w:r>
      <w:r>
        <w:rPr/>
        <w:t xml:space="preserve">, a peer-reviewed international journal (AHCI and SSCI), provides in-depth analysis of the cultural sector and cultural policy. It offers timely investigations into key issues in the arts, culture and creative sectors, and critically engages with ongoing policy debates from interdisciplinary and international perspectives. The journal champions methodological rigour and is keen to comment on evidence used for policy making, but it values quantitative and qualitative approaches equally. It serves as a platform to reach a broad audience and research communities worldwide and communicate with both cultural practitioners and policymakers. The coverage of the journal includes but is not limited to the following areas:</w:t>
      </w:r>
    </w:p>
    <w:p>
      <w:pPr>
        <w:numPr>
          <w:ilvl w:val="0"/>
          <w:numId w:val="2"/>
        </w:numPr>
      </w:pPr>
      <w:r>
        <w:rPr/>
        <w:t xml:space="preserve">Cultural policy</w:t>
      </w:r>
    </w:p>
    <w:p>
      <w:pPr>
        <w:numPr>
          <w:ilvl w:val="0"/>
          <w:numId w:val="2"/>
        </w:numPr>
      </w:pPr>
      <w:r>
        <w:rPr/>
        <w:t xml:space="preserve">Cultural management and organisation</w:t>
      </w:r>
    </w:p>
    <w:p>
      <w:pPr>
        <w:numPr>
          <w:ilvl w:val="0"/>
          <w:numId w:val="2"/>
        </w:numPr>
      </w:pPr>
      <w:r>
        <w:rPr/>
        <w:t xml:space="preserve">Production and consumption of culture</w:t>
      </w:r>
    </w:p>
    <w:p>
      <w:pPr>
        <w:numPr>
          <w:ilvl w:val="0"/>
          <w:numId w:val="2"/>
        </w:numPr>
      </w:pPr>
      <w:r>
        <w:rPr/>
        <w:t xml:space="preserve">Cultural work and creative labour</w:t>
      </w:r>
    </w:p>
    <w:p>
      <w:pPr>
        <w:numPr>
          <w:ilvl w:val="0"/>
          <w:numId w:val="2"/>
        </w:numPr>
      </w:pPr>
      <w:r>
        <w:rPr/>
        <w:t xml:space="preserve">Audiences and cultural participation</w:t>
      </w:r>
    </w:p>
    <w:p>
      <w:pPr>
        <w:numPr>
          <w:ilvl w:val="0"/>
          <w:numId w:val="2"/>
        </w:numPr>
      </w:pPr>
      <w:r>
        <w:rPr/>
        <w:t xml:space="preserve">Values and functions of culture</w:t>
      </w:r>
    </w:p>
    <w:p>
      <w:pPr>
        <w:numPr>
          <w:ilvl w:val="0"/>
          <w:numId w:val="2"/>
        </w:numPr>
      </w:pPr>
      <w:r>
        <w:rPr/>
        <w:t xml:space="preserve">Creative industries</w:t>
      </w:r>
    </w:p>
    <w:p>
      <w:pPr>
        <w:numPr>
          <w:ilvl w:val="0"/>
          <w:numId w:val="2"/>
        </w:numPr>
      </w:pPr>
      <w:r>
        <w:rPr/>
        <w:t xml:space="preserve">Culture and urban space</w:t>
      </w:r>
    </w:p>
    <w:p>
      <w:pPr>
        <w:numPr>
          <w:ilvl w:val="0"/>
          <w:numId w:val="2"/>
        </w:numPr>
      </w:pPr>
      <w:r>
        <w:rPr/>
        <w:t xml:space="preserve">Culture, environment and sustainability</w:t>
      </w:r>
    </w:p>
    <w:p>
      <w:pPr>
        <w:numPr>
          <w:ilvl w:val="0"/>
          <w:numId w:val="2"/>
        </w:numPr>
      </w:pPr>
      <w:r>
        <w:rPr/>
        <w:t xml:space="preserve">Cultural diplomacy.</w:t>
      </w:r>
    </w:p>
    <w:p>
      <w:pPr/>
    </w:p>
    <w:p>
      <w:pPr/>
      <w:r>
        <w:rPr>
          <w:b w:val="1"/>
          <w:bCs w:val="1"/>
        </w:rPr>
        <w:t xml:space="preserve">Thèmes : </w:t>
      </w:r>
      <w:r>
        <w:rPr/>
        <w:t xml:space="preserve"/>
      </w:r>
      <w:br/>
      <w:r>
        <w:rPr/>
        <w:t xml:space="preserve">Macro-économie et politique</w:t>
      </w:r>
      <w:br/>
      <w:r>
        <w:rPr/>
        <w:t xml:space="preserve">Sociologie., anthropol., ethnol.</w:t>
      </w:r>
      <w:br/>
      <w:r>
        <w:rPr/>
        <w:t xml:space="preserve">Sciences et sociétés, éthique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Cult. Trends</w:t>
      </w:r>
      <w:br/>
      <w:r>
        <w:rPr>
          <w:b w:val="1"/>
          <w:bCs w:val="1"/>
        </w:rPr>
        <w:t xml:space="preserve">ISSN : </w:t>
      </w:r>
      <w:r>
        <w:rPr/>
        <w:t xml:space="preserve">0954-8963 (ISSN-L); 0954-8963 (Papier); 1469-3690 (Electronique)</w:t>
      </w:r>
      <w:br/>
      <w:r>
        <w:rPr>
          <w:b w:val="1"/>
          <w:bCs w:val="1"/>
        </w:rPr>
        <w:t xml:space="preserve">Périodicité : </w:t>
      </w:r>
      <w:r>
        <w:rPr/>
        <w:t xml:space="preserve">5 n°/an</w:t>
      </w:r>
      <w:br/>
    </w:p>
    <w:p>
      <w:pPr/>
      <w:r>
        <w:rPr>
          <w:b w:val="1"/>
          <w:bCs w:val="1"/>
        </w:rPr>
        <w:t xml:space="preserve">Types d'articles : </w:t>
      </w:r>
      <w:r>
        <w:rPr/>
        <w:t xml:space="preserve">Articles de recherche, Articles de synthèse, Analyses d'ouvrages, Opinions</w:t>
      </w:r>
      <w:br/>
      <w:br/>
      <w:r>
        <w:rPr>
          <w:b w:val="1"/>
          <w:bCs w:val="1"/>
        </w:rPr>
        <w:t xml:space="preserve">Frais de publication : </w:t>
      </w:r>
      <w:r>
        <w:rPr/>
        <w:t xml:space="preserve">Non</w:t>
      </w:r>
      <w:br/>
      <w:r>
        <w:rPr>
          <w:b w:val="1"/>
          <w:bCs w:val="1"/>
        </w:rPr>
        <w:t xml:space="preserve">Coût du libre accès optionnel : </w:t>
      </w:r>
      <w:r>
        <w:rPr/>
        <w:t xml:space="preserve">3190 euros (mise à jour le 22/09/2023)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w:t>
        </w:r>
      </w:hyperlink>
      <w:br/>
      <w:br/>
      <w:r>
        <w:rPr/>
        <w:t xml:space="preserve">Mise à jour le </w:t>
      </w:r>
      <w:r>
        <w:rPr/>
        <w:t xml:space="preserve">22/09/2023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3194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81" TargetMode="External"/><Relationship Id="rId8" Type="http://schemas.openxmlformats.org/officeDocument/2006/relationships/hyperlink" Target="https://www.tandfonline.com/journals/ccut20" TargetMode="External"/><Relationship Id="rId9" Type="http://schemas.openxmlformats.org/officeDocument/2006/relationships/hyperlink" Target="https://www.tandfonline.com/action/authorSubmission?show=instructions&amp;journalCode=ccut20" TargetMode="External"/><Relationship Id="rId10" Type="http://schemas.openxmlformats.org/officeDocument/2006/relationships/hyperlink" Target="https://authorservices.taylorandfrancis.com/data-sharing-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2024-11-22T06:27:38+01:00</dcterms:created>
  <dcterms:modified xsi:type="dcterms:W3CDTF">2024-11-22T06:27:38+01:00</dcterms:modified>
</cp:coreProperties>
</file>

<file path=docProps/custom.xml><?xml version="1.0" encoding="utf-8"?>
<Properties xmlns="http://schemas.openxmlformats.org/officeDocument/2006/custom-properties" xmlns:vt="http://schemas.openxmlformats.org/officeDocument/2006/docPropsVTypes"/>
</file>