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Systems Research and Behavioral Science</w:t>
      </w:r>
      <w:bookmarkEnd w:id="1"/>
    </w:p>
    <w:p>
      <w:hyperlink r:id="rId7" w:history="1">
        <w:r>
          <w:rPr>
            <w:color w:val="#0000ff"/>
          </w:rPr>
          <w:t xml:space="preserve">https://ou-publier.cirad.fr/node/6218</w:t>
        </w:r>
      </w:hyperlink>
    </w:p>
    <w:p>
      <w:pPr/>
      <w:br/>
      <w:r>
        <w:rPr>
          <w:b w:val="1"/>
          <w:bCs w:val="1"/>
        </w:rPr>
        <w:t xml:space="preserve">Editeur scientifique : </w:t>
      </w:r>
      <w:r>
        <w:rPr/>
        <w:t xml:space="preserve">IFSR - International Federation for Systems Research (Autriche)</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https://onlinelibrary.wiley.com/journal/10991743a</w:t>
        </w:r>
      </w:hyperlink>
      <w:br/>
      <w:r>
        <w:rPr>
          <w:b w:val="1"/>
          <w:bCs w:val="1"/>
        </w:rPr>
        <w:t xml:space="preserve">Informations aux auteurs : </w:t>
      </w:r>
      <w:hyperlink r:id="rId9" w:history="1">
        <w:r>
          <w:rPr>
            <w:color w:val="#0000ff"/>
          </w:rPr>
          <w:t xml:space="preserve">https://onlinelibrary.wiley.com/page/journal/10991743a/homepage/forauthors.html</w:t>
        </w:r>
      </w:hyperlink>
      <w:br/>
      <w:br/>
      <w:r>
        <w:rPr>
          <w:b w:val="1"/>
          <w:bCs w:val="1"/>
        </w:rPr>
        <w:t xml:space="preserve">Présentation de la revue</w:t>
      </w:r>
      <w:br/>
      <w:r>
        <w:rPr>
          <w:b w:val="1"/>
          <w:bCs w:val="1"/>
        </w:rPr>
        <w:t xml:space="preserve">Langue originale : </w:t>
      </w:r>
    </w:p>
    <w:p>
      <w:pPr/>
      <w:r>
        <w:rPr>
          <w:i w:val="1"/>
          <w:iCs w:val="1"/>
        </w:rPr>
        <w:t xml:space="preserve">Systems Research and Behavioral Science</w:t>
      </w:r>
      <w:r>
        <w:rPr/>
        <w:t xml:space="preserve"> serves the international community of systems researchers and practitioners, and all those interested in systems ideas, by publishing high-quality, original articles on systems theories, methodologies and applications. It embraces all strands of the systems movement; including general system theory, cybernetics, autopoiesis, complexity theory, systems engineering, lean systems, system dynamics, soft systems thinking and critical systems thinking. Its scope is also comprehensive, covering systems approaches in the physical sciences, biology, family therapy, business and management, project management, information systems, community studies, social policy, governance, agriculture and the environment. However, the editors particularly welcome papers with broad transdisciplinary implications not found in journals devoted to a single discipline.</w:t>
      </w:r>
    </w:p>
    <w:p>
      <w:pPr/>
    </w:p>
    <w:p>
      <w:pPr/>
      <w:r>
        <w:rPr>
          <w:b w:val="1"/>
          <w:bCs w:val="1"/>
        </w:rPr>
        <w:t xml:space="preserve">Thèmes : </w:t>
      </w:r>
      <w:r>
        <w:rPr/>
        <w:t xml:space="preserve"/>
      </w:r>
      <w:br/>
      <w:r>
        <w:rPr/>
        <w:t xml:space="preserve">Eco, socio, dév : multidiscip.</w:t>
      </w:r>
      <w:br/>
      <w:r>
        <w:rPr/>
        <w:t xml:space="preserve">Modélisation</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Syst. Res. Behav. Sci.</w:t>
      </w:r>
      <w:br/>
      <w:r>
        <w:rPr>
          <w:b w:val="1"/>
          <w:bCs w:val="1"/>
        </w:rPr>
        <w:t xml:space="preserve">ISSN : </w:t>
      </w:r>
      <w:r>
        <w:rPr/>
        <w:t xml:space="preserve">1092-7026 (ISSN-L); 1092-7026 (Papier); 1099-1743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Numéros thématiques, Articles techniques, Commentaires, Educational papers, Lettres</w:t>
      </w:r>
      <w:br/>
      <w:br/>
      <w:r>
        <w:rPr>
          <w:b w:val="1"/>
          <w:bCs w:val="1"/>
        </w:rPr>
        <w:t xml:space="preserve">Frais de publication : </w:t>
      </w:r>
      <w:r>
        <w:rPr/>
        <w:t xml:space="preserve">Non</w:t>
      </w:r>
      <w:br/>
      <w:r>
        <w:rPr>
          <w:b w:val="1"/>
          <w:bCs w:val="1"/>
        </w:rPr>
        <w:t xml:space="preserve">Coût du libre accès optionnel : </w:t>
      </w:r>
      <w:r>
        <w:rPr/>
        <w:t xml:space="preserve">2520 euros (mise à jour le 31/01/2023)</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31/01/2023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218" TargetMode="External"/><Relationship Id="rId8" Type="http://schemas.openxmlformats.org/officeDocument/2006/relationships/hyperlink" Target="https://onlinelibrary.wiley.com/journal/10991743a" TargetMode="External"/><Relationship Id="rId9" Type="http://schemas.openxmlformats.org/officeDocument/2006/relationships/hyperlink" Target="https://onlinelibrary.wiley.com/page/journal/10991743a/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2024-11-21T22:48:18+01:00</dcterms:created>
  <dcterms:modified xsi:type="dcterms:W3CDTF">2024-11-21T22:48:18+01:00</dcterms:modified>
</cp:coreProperties>
</file>

<file path=docProps/custom.xml><?xml version="1.0" encoding="utf-8"?>
<Properties xmlns="http://schemas.openxmlformats.org/officeDocument/2006/custom-properties" xmlns:vt="http://schemas.openxmlformats.org/officeDocument/2006/docPropsVTypes"/>
</file>