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Veterinary Medicine and Science</w:t>
      </w:r>
      <w:bookmarkEnd w:id="1"/>
    </w:p>
    <w:p>
      <w:hyperlink r:id="rId7" w:history="1">
        <w:r>
          <w:rPr>
            <w:color w:val="#0000ff"/>
          </w:rPr>
          <w:t xml:space="preserve">https://ou-publier.cirad.fr/node/5633</w:t>
        </w:r>
      </w:hyperlink>
    </w:p>
    <w:p>
      <w:pPr/>
      <w:br/>
      <w:r>
        <w:rPr>
          <w:b w:val="1"/>
          <w:bCs w:val="1"/>
        </w:rPr>
        <w:t xml:space="preserve">Editeur commercial : </w:t>
      </w:r>
      <w:r>
        <w:rPr/>
        <w:t xml:space="preserve">Wiley (Etats-Unis)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http://onlinelibrary.wiley.com/journal/10.1002/(ISSN)2053-1095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https://onlinelibrary.wiley.com/page/journal/20531095/homepage/ForAuthors.html#preparing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"Veterinary Medicine and Science" is the peer-reviewed journal for rapid dissemination of research in all areas of veterinary medicine and science. The journal aims to serve the research community by providing a vehicle for authors wishing to publish interesting and high quality work in both fundamental and clinical veterinary medicine and science.</w:t>
      </w:r>
      <w:br/>
      <w:r>
        <w:rPr/>
        <w:t xml:space="preserve">Veterinary Medicine and Science publishes original research articles, systematic reviews, meta-analyses, and research methods papers, along with invited editorials and commentaries. Original research papers must report well-conducted research with conclusions supported by the data presented in the paper.</w:t>
      </w:r>
      <w:br/>
      <w:r>
        <w:rPr/>
        <w:t xml:space="preserve">We aim to be a truly global forum for high-quality research in veterinary medicine and science, and believe that the best research should be published and made widely accessible as quickly as possible.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Santé animale : multidisciplinaire</w:t>
      </w:r>
      <w:br/>
      <w:r>
        <w:rPr/>
        <w:t xml:space="preserve">Médecine vétérinaire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Titre abrégé (ISO) : </w:t>
      </w:r>
      <w:r>
        <w:rPr/>
        <w:t xml:space="preserve">Vet. med. sci.</w:t>
      </w:r>
      <w:br/>
      <w:r>
        <w:rPr>
          <w:b w:val="1"/>
          <w:bCs w:val="1"/>
        </w:rPr>
        <w:t xml:space="preserve">ISSN : </w:t>
      </w:r>
      <w:r>
        <w:rPr/>
        <w:t xml:space="preserve">2053-1095 (ISSN-L); 2053-1095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4 n°/an (Trimestriel)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Articles techniques, Commentaires, Etudes de cas, Opinions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Oui</w:t>
      </w:r>
      <w:br/>
      <w:r>
        <w:rPr>
          <w:b w:val="1"/>
          <w:bCs w:val="1"/>
        </w:rPr>
        <w:t xml:space="preserve">Montant des frais de publication : </w:t>
      </w:r>
      <w:r>
        <w:rPr/>
        <w:t xml:space="preserve">2400 Euros (1008 Euros pour les Case Reports) (mise à jour le 01/01/2022)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recommandé</w:t>
      </w:r>
      <w:br/>
      <w:br/>
      <w:r>
        <w:rPr/>
        <w:t xml:space="preserve">Mise à jour le </w:t>
      </w:r>
      <w:r>
        <w:rPr/>
        <w:t xml:space="preserve">28/07/2022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5633" TargetMode="External"/><Relationship Id="rId8" Type="http://schemas.openxmlformats.org/officeDocument/2006/relationships/hyperlink" Target="http://onlinelibrary.wiley.com/journal/10.1002/(ISSN)2053-1095" TargetMode="External"/><Relationship Id="rId9" Type="http://schemas.openxmlformats.org/officeDocument/2006/relationships/hyperlink" Target="https://onlinelibrary.wiley.com/page/journal/20531095/homepage/ForAuthors.html#preparing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2024-11-05T03:23:37+01:00</dcterms:created>
  <dcterms:modified xsi:type="dcterms:W3CDTF">2024-11-05T03:23:37+01:00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