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Lancet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https://ou-publier.cirad.fr/node/5351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http://www.thelancet.com/journals/langlo/issue/current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http://www.thelancet.com/langlo/information-for-authors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Lancet Global Health publishes high-quality original research, commentary, and correspondence on the following subjects as they pertain to low- and middle-income countries: reproductive, maternal, neonatal, and child health; adolescent health; infectiousdiseases, including neglected tropical diseases; non-communicable diseases; mental health; the global health workforce; healthsystems; public health; and health policy. Wherever possible, figures and good quality photographs (colour or black and white) should be used to supplement and to enhance the text. We also welcome videos.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Lancet Glob. Health</w:t>
      </w:r>
      <w:br/>
      <w:r>
        <w:rPr>
          <w:b w:val="1"/>
          <w:bCs w:val="1"/>
        </w:rPr>
        <w:t xml:space="preserve">ISSN : </w:t>
      </w:r>
      <w:r>
        <w:rPr/>
        <w:t xml:space="preserve">2214-109X (ISSN-L); 2572-116X (Papier); 2214-109X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6070 $ (mise à jour le 04/09/2024)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04/09/2024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51" TargetMode="External"/><Relationship Id="rId8" Type="http://schemas.openxmlformats.org/officeDocument/2006/relationships/hyperlink" Target="http://www.thelancet.com/journals/langlo/issue/current" TargetMode="External"/><Relationship Id="rId9" Type="http://schemas.openxmlformats.org/officeDocument/2006/relationships/hyperlink" Target="http://www.thelancet.com/langlo/information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2024-11-05T03:21:46+01:00</dcterms:created>
  <dcterms:modified xsi:type="dcterms:W3CDTF">2024-11-05T03:21:46+01:00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