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Microbiology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https://ou-publier.cirad.fr/node/5252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http://www.springer.com/life+sciences/microbiology/journal/253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https://www.springer.com/journal/253/submission-guidelines?detailsPage=pltci_1060847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Applied Microbiology and Biotechnology focusses on prokaryotic or eukaryotic cells, relevant enzymes and proteins; applied genetics and molecular biotechnology; genomics and proteomics; applied microbial and cell physiology; environmental biotechnology; process and products and more. The journal welcomes full-length papers and mini-reviews of new and emerging products, processes and technologies.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European journal of applied microbiology and biotechnology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Microbiol. Biotechnol.</w:t>
      </w:r>
      <w:br/>
      <w:r>
        <w:rPr>
          <w:b w:val="1"/>
          <w:bCs w:val="1"/>
        </w:rPr>
        <w:t xml:space="preserve">ISSN : </w:t>
      </w:r>
      <w:r>
        <w:rPr/>
        <w:t xml:space="preserve">0175-7598 (ISSN-L); 0175-7598 (Papier); 1432-0614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01/08/2025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52" TargetMode="External"/><Relationship Id="rId8" Type="http://schemas.openxmlformats.org/officeDocument/2006/relationships/hyperlink" Target="http://www.springer.com/life+sciences/microbiology/journal/253" TargetMode="External"/><Relationship Id="rId9" Type="http://schemas.openxmlformats.org/officeDocument/2006/relationships/hyperlink" Target="https://www.springer.com/journal/253/submission-guidelines?detailsPage=pltci_1060847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2025-09-27T00:10:17+02:00</dcterms:created>
  <dcterms:modified xsi:type="dcterms:W3CDTF">2025-09-27T00:10:17+02:00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