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https://ou-publier.cirad.fr/node/4817</w:t>
        </w:r>
      </w:hyperlink>
    </w:p>
    <w:p>
      <w:pPr/>
      <w:br/>
      <w:r>
        <w:rPr>
          <w:b w:val="1"/>
          <w:bCs w:val="1"/>
        </w:rPr>
        <w:t xml:space="preserve">Editeur scientifique : </w:t>
      </w:r>
      <w:r>
        <w:rPr/>
        <w:t xml:space="preserve">UNU - United Nations University (Japon)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http://www.springer.com/journal/11625</w:t>
        </w:r>
      </w:hyperlink>
      <w:br/>
      <w:r>
        <w:rPr>
          <w:b w:val="1"/>
          <w:bCs w:val="1"/>
        </w:rPr>
        <w:t xml:space="preserve">Informations aux auteurs : </w:t>
      </w:r>
      <w:hyperlink r:id="rId9" w:history="1">
        <w:r>
          <w:rPr>
            <w:color w:val="#0000ff"/>
          </w:rPr>
          <w:t xml:space="preserve">https://www.springer.com/journal/11625/submission-guidelines</w:t>
        </w:r>
      </w:hyperlink>
      <w:br/>
      <w:r>
        <w:rPr>
          <w:b w:val="1"/>
          <w:bCs w:val="1"/>
        </w:rPr>
        <w:t xml:space="preserve">Autre lien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Langue originale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Sciences et sociétés, éthique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Sustain. Sci.</w:t>
      </w:r>
      <w:br/>
      <w:r>
        <w:rPr>
          <w:b w:val="1"/>
          <w:bCs w:val="1"/>
        </w:rPr>
        <w:t xml:space="preserve">ISSN : </w:t>
      </w:r>
      <w:r>
        <w:rPr/>
        <w:t xml:space="preserve">1862-4057 (ISSN-L); 1862-4065 (Papier); 1862-4057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30/09/2024)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30/09/2024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2025-09-27T03:34:45+02:00</dcterms:created>
  <dcterms:modified xsi:type="dcterms:W3CDTF">2025-09-27T03:34:45+02:00</dcterms:modified>
</cp:coreProperties>
</file>

<file path=docProps/custom.xml><?xml version="1.0" encoding="utf-8"?>
<Properties xmlns="http://schemas.openxmlformats.org/officeDocument/2006/custom-properties" xmlns:vt="http://schemas.openxmlformats.org/officeDocument/2006/docPropsVTypes"/>
</file>