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https://ou-publier.cirad.fr/node/4767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http://onlinelibrary.wiley.com/journal/10.1002/(ISSN)1521-4036/homepage/ProductInformation.html</w:t>
        </w:r>
      </w:hyperlink>
      <w:br/>
      <w:r>
        <w:rPr>
          <w:b w:val="1"/>
          <w:bCs w:val="1"/>
        </w:rPr>
        <w:t xml:space="preserve">Informations aux auteurs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Langue originale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 J.</w:t>
      </w:r>
      <w:br/>
      <w:r>
        <w:rPr>
          <w:b w:val="1"/>
          <w:bCs w:val="1"/>
        </w:rPr>
        <w:t xml:space="preserve">ISSN : </w:t>
      </w:r>
      <w:r>
        <w:rPr/>
        <w:t xml:space="preserve">0323-3847 (ISSN-L); 0323-3847 (Papier); 1521-4036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Numéros thématiques, Etudes de cas, Lettres</w:t>
      </w:r>
      <w:br/>
      <w:br/>
      <w:r>
        <w:rPr>
          <w:b w:val="1"/>
          <w:bCs w:val="1"/>
        </w:rPr>
        <w:t xml:space="preserve">Frais de publication : </w:t>
      </w:r>
      <w:r>
        <w:rPr/>
        <w:t xml:space="preserve">Non</w:t>
      </w:r>
      <w:br/>
      <w:r>
        <w:rPr>
          <w:b w:val="1"/>
          <w:bCs w:val="1"/>
        </w:rPr>
        <w:t xml:space="preserve">Coût du libre accès optionnel : </w:t>
      </w:r>
      <w:r>
        <w:rPr/>
        <w:t xml:space="preserve">3450 euros (mise à jour le 04/09/2023)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2024-11-21T17:17:55+01:00</dcterms:created>
  <dcterms:modified xsi:type="dcterms:W3CDTF">2024-11-21T17:17:55+01:00</dcterms:modified>
</cp:coreProperties>
</file>

<file path=docProps/custom.xml><?xml version="1.0" encoding="utf-8"?>
<Properties xmlns="http://schemas.openxmlformats.org/officeDocument/2006/custom-properties" xmlns:vt="http://schemas.openxmlformats.org/officeDocument/2006/docPropsVTypes"/>
</file>