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https://ou-publier.cirad.fr/node/4706</w:t>
        </w:r>
      </w:hyperlink>
    </w:p>
    <w:p>
      <w:pPr/>
      <w:br/>
      <w:r>
        <w:rPr>
          <w:b w:val="1"/>
          <w:bCs w:val="1"/>
        </w:rPr>
        <w:t xml:space="preserve">Editeur scientifique : </w:t>
      </w:r>
      <w:r>
        <w:rPr/>
        <w:t xml:space="preserve">Polish Academy of Sciences, Institute of Plant Physiology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http://www.springer.com/life+sciences/plant+sciences/journal/11738</w:t>
        </w:r>
      </w:hyperlink>
      <w:br/>
      <w:r>
        <w:rPr>
          <w:b w:val="1"/>
          <w:bCs w:val="1"/>
        </w:rPr>
        <w:t xml:space="preserve">Informations aux auteurs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Langue originale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w:t>
      </w:r>
      <w:br/>
      <w:r>
        <w:rPr>
          <w:b w:val="1"/>
          <w:bCs w:val="1"/>
        </w:rPr>
        <w:t xml:space="preserve">Titre abrégé (ISO) : </w:t>
      </w:r>
      <w:r>
        <w:rPr/>
        <w:t xml:space="preserve">Acta Physiol. Plant.</w:t>
      </w:r>
      <w:br/>
      <w:r>
        <w:rPr>
          <w:b w:val="1"/>
          <w:bCs w:val="1"/>
        </w:rPr>
        <w:t xml:space="preserve">ISSN : </w:t>
      </w:r>
      <w:r>
        <w:rPr/>
        <w:t xml:space="preserve">0137-5881 (ISSN-L); 0137-5881 (Papier); 1861-1664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2490 €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https://www.springer.com/journal/11738/submission-guidelines#Instructions%20for%20Authors_Research%20Data%20Policy%20and%20Data%20Availability%20Statements</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2025-09-26T15:31:01+02:00</dcterms:created>
  <dcterms:modified xsi:type="dcterms:W3CDTF">2025-09-26T15:31:01+02:00</dcterms:modified>
</cp:coreProperties>
</file>

<file path=docProps/custom.xml><?xml version="1.0" encoding="utf-8"?>
<Properties xmlns="http://schemas.openxmlformats.org/officeDocument/2006/custom-properties" xmlns:vt="http://schemas.openxmlformats.org/officeDocument/2006/docPropsVTypes"/>
</file>