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Virulence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https://ou-publier.cirad.fr/node/4502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https://www.tandfonline.com/action/journalInformation?show=aimsScope&amp;journalCode=kvir20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http://www.tandfonline.com/action/authorSubmission?journalCode=kvir20&amp;page=instructions#.VTkmDkpOLmQ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Virulence is the first journal of its kind to focus exclusively on microbial pathogenicity, the infection process and host-pathogen interactions. In order to address the new infectious challenges, emerging infectious agents and antimicrobial resistance, there is a clear need for interdisciplinary research and a publication that brings together scientists and clinical researchers that work on the 'pathogen', the 'host' or the 'antimicrobial agents'.</w:t>
      </w:r>
      <w:br/>
      <w:r>
        <w:rPr/>
        <w:t xml:space="preserve">Virulence is a multi-disciplinary journal dedicated to bringing together basic, translational and clinical research on all aspects of host-pathogen interactions.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agents pathogènes</w:t>
      </w:r>
      <w:br/>
      <w:r>
        <w:rPr/>
        <w:t xml:space="preserve">Santé humaine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Virulence</w:t>
      </w:r>
      <w:br/>
      <w:r>
        <w:rPr>
          <w:b w:val="1"/>
          <w:bCs w:val="1"/>
        </w:rPr>
        <w:t xml:space="preserve">ISSN : </w:t>
      </w:r>
      <w:r>
        <w:rPr/>
        <w:t xml:space="preserve">2150-5594 (ISSN-L); 2150-5594 (Papier); 2150-5608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Comptes rendus de conférences,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2280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502" TargetMode="External"/><Relationship Id="rId8" Type="http://schemas.openxmlformats.org/officeDocument/2006/relationships/hyperlink" Target="https://www.tandfonline.com/action/journalInformation?show=aimsScope&amp;journalCode=kvir20" TargetMode="External"/><Relationship Id="rId9" Type="http://schemas.openxmlformats.org/officeDocument/2006/relationships/hyperlink" Target="http://www.tandfonline.com/action/authorSubmission?journalCode=kvir20&amp;page=instructions#.VTkmDkpOLmQ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2024-11-05T03:25:51+01:00</dcterms:created>
  <dcterms:modified xsi:type="dcterms:W3CDTF">2024-11-05T03:25:51+01:00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