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Ecology and Evolution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http://onlinelibrary.wiley.com/journal/10.1002/(ISSN)2045-7758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http://onlinelibrary.wiley.com/journal/10.1002/%28ISSN%292045-7758/homepage/ForAuthors.html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Ecology and Evolution</w:t>
      </w:r>
      <w:r>
        <w:rPr/>
        <w:t xml:space="preserve"> is a broad open access journal welcoming all research in ecology, evolution, and conservation science. We are an author-friendly journal, providing a forum for evidence-based views. This means we aim to review all submissions, and look for reasons to publish, not reject.</w:t>
      </w:r>
    </w:p>
    <w:p>
      <w:pPr/>
      <w:r>
        <w:rPr/>
        <w:t xml:space="preserve">We welcome submissions across taxa, and consider a range of formats, including Original Research articles, Reviews, Viewpoints and Registered Reports. We also offer novel categories of papers: </w:t>
      </w:r>
      <w:hyperlink r:id="rId10" w:history="1">
        <w:r>
          <w:rPr>
            <w:color w:val="0000ff"/>
          </w:rPr>
          <w:t xml:space="preserve">Nature Notes</w:t>
        </w:r>
      </w:hyperlink>
      <w:r>
        <w:rPr/>
        <w:t xml:space="preserve">, </w:t>
      </w:r>
      <w:hyperlink r:id="rId11" w:history="1">
        <w:r>
          <w:rPr>
            <w:color w:val="0000ff"/>
          </w:rPr>
          <w:t xml:space="preserve">Genetics Notes</w:t>
        </w:r>
      </w:hyperlink>
      <w:r>
        <w:rPr/>
        <w:t xml:space="preserve"> and </w:t>
      </w:r>
      <w:hyperlink r:id="rId12" w:history="1">
        <w:r>
          <w:rPr>
            <w:color w:val="0000ff"/>
          </w:rPr>
          <w:t xml:space="preserve">Academic Practice in Ecology and Evolution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Ecol. Evol.</w:t>
      </w:r>
      <w:br/>
      <w:r>
        <w:rPr>
          <w:b w:val="1"/>
          <w:bCs w:val="1"/>
        </w:rPr>
        <w:t xml:space="preserve">ISSN : </w:t>
      </w:r>
      <w:r>
        <w:rPr/>
        <w:t xml:space="preserve">2045-7758 (ISSN-L); 2045-7758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2020 € (mise à jour le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3" w:history="1">
        <w:r>
          <w:rPr>
            <w:color w:val="#0000ff"/>
          </w:rPr>
          <w:t xml:space="preserve">https://onlinelibrary.wiley.com/page/journal/20457758/homepage/ForAuthors.html</w:t>
        </w:r>
      </w:hyperlink>
      <w:br/>
      <w:br/>
      <w:r>
        <w:rPr/>
        <w:t xml:space="preserve">Mise à jour le </w:t>
      </w:r>
      <w:r>
        <w:rPr/>
        <w:t xml:space="preserve">25/04/2024	 					© Cirad, 2025</w:t>
      </w:r>
      <w:br/>
    </w:p>
    <w:sectPr>
      <w:head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75" TargetMode="External"/><Relationship Id="rId8" Type="http://schemas.openxmlformats.org/officeDocument/2006/relationships/hyperlink" Target="http://onlinelibrary.wiley.com/journal/10.1002/(ISSN)2045-7758" TargetMode="External"/><Relationship Id="rId9" Type="http://schemas.openxmlformats.org/officeDocument/2006/relationships/hyperlink" Target="http://onlinelibrary.wiley.com/journal/10.1002/%28ISSN%292045-7758/homepage/ForAuthors.html" TargetMode="External"/><Relationship Id="rId10" Type="http://schemas.openxmlformats.org/officeDocument/2006/relationships/hyperlink" Target="https://onlinelibrary.wiley.com/doi/full/10.1002/ece3.6534" TargetMode="External"/><Relationship Id="rId11" Type="http://schemas.openxmlformats.org/officeDocument/2006/relationships/hyperlink" Target="https://onlinelibrary.wiley.com/doi/full/10.1002/ece3.10992" TargetMode="External"/><Relationship Id="rId12" Type="http://schemas.openxmlformats.org/officeDocument/2006/relationships/hyperlink" Target="https://onlinelibrary.wiley.com/doi/full/10.1002/ece3.3200" TargetMode="External"/><Relationship Id="rId13" Type="http://schemas.openxmlformats.org/officeDocument/2006/relationships/hyperlink" Target="https://onlinelibrary.wiley.com/page/journal/20457758/homepage/ForAuthor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2025-09-27T02:54:24+02:00</dcterms:created>
  <dcterms:modified xsi:type="dcterms:W3CDTF">2025-09-27T02:54:24+02:00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