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Ticks and Tick-Borne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https://www.sciencedirect.com/journal/ticks-and-tick-borne-diseases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https://www.sciencedirect.com/journal/ticks-and-tick-borne-diseases/publish/guide-for-authors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covers a broad spectrum and brings together various disciplines, for example, zoology, microbiology, molecular biology, genetics, mathematical modelling, veterinary and human medicine. Multidisciplinary approaches and the use of conventional and novel methods/methodologies (in the field and in the laboratory) are crucial for deeper understanding of the natural processes and human behaviour/activities that result in human or animal diseases and in economic effects of ticks and tick-borne pathogens. Such understanding is essential for management of tick populations and tick-borne diseases in an effective and environmentally acceptable manner.</w:t>
      </w:r>
      <w:br/>
      <w:r>
        <w:rPr/>
        <w:t xml:space="preserve">Types of papers include announcements of international meetings and editorials.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Ticks Tick-Borne Dis.</w:t>
      </w:r>
      <w:br/>
      <w:r>
        <w:rPr>
          <w:b w:val="1"/>
          <w:bCs w:val="1"/>
        </w:rPr>
        <w:t xml:space="preserve">ISSN : </w:t>
      </w:r>
      <w:r>
        <w:rPr/>
        <w:t xml:space="preserve">1877-959X (ISSN-L); 1877-959X (Papier); 1877-9603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Articles techniques, Etudes de cas, Lettres,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2680 $. Pour les Ciradiens, aucun coût à payer suite à un accord national pour la période 2024-2027 (https://intranet-dist.cirad.fr/publier/choisir-la-revue/accords-cirad-editeurs)  (mise à jour le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54" TargetMode="External"/><Relationship Id="rId8" Type="http://schemas.openxmlformats.org/officeDocument/2006/relationships/hyperlink" Target="https://www.sciencedirect.com/journal/ticks-and-tick-borne-diseases" TargetMode="External"/><Relationship Id="rId9" Type="http://schemas.openxmlformats.org/officeDocument/2006/relationships/hyperlink" Target="https://www.sciencedirect.com/journal/ticks-and-tick-borne-disease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2025-09-27T03:49:02+02:00</dcterms:created>
  <dcterms:modified xsi:type="dcterms:W3CDTF">2025-09-27T03:49:02+02:00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