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Journal of Digital Earth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https://ou-publier.cirad.fr/node/4010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ISDE - International Society for Digital Earth (Chine)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http://www.tandfonline.com/toc/tjde20/current#.Vm67VV5wkak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http://www.tandfonline.com/action/authorSubmission?journalCode=tjde20&amp;page=instructions#.Vm67bF5wkak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Digital Earth is a global initiative aimed at harnessing the world's data and information resources to develop a virtual 3-D model of the Earth in order to monitor, measure, and forecast natural and human activity on the planet. The International Journal of Digital Earth is a response to this initiative. This international, peer-reviewed research journal will focus on knowledge-based solutions to build and advance applications to improve human conditions, protect ecological services and support future sustainable development for environmental, social, and economic conditions.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r>
        <w:rPr/>
        <w:t xml:space="preserve">Changement climatique et environnemental</w:t>
      </w:r>
      <w:br/>
      <w:r>
        <w:rPr/>
        <w:t xml:space="preserve">Géomatique, télédétection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Int. J. Digit. Earth</w:t>
      </w:r>
      <w:br/>
      <w:r>
        <w:rPr>
          <w:b w:val="1"/>
          <w:bCs w:val="1"/>
        </w:rPr>
        <w:t xml:space="preserve">ISSN : </w:t>
      </w:r>
      <w:r>
        <w:rPr/>
        <w:t xml:space="preserve">1753-8947 (ISSN-L); 1753-8947 (Papier); 1753-8955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2875 € (mise à jour le 29/04/2024)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https://www.tandfonline.com/action/authorSubmission?journalCode=tjde20&amp;page=instructions#dsp</w:t>
        </w:r>
      </w:hyperlink>
      <w:br/>
      <w:br/>
      <w:r>
        <w:rPr/>
        <w:t xml:space="preserve">Mise à jour le </w:t>
      </w:r>
      <w:r>
        <w:rPr/>
        <w:t xml:space="preserve">29/04/2024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10" TargetMode="External"/><Relationship Id="rId8" Type="http://schemas.openxmlformats.org/officeDocument/2006/relationships/hyperlink" Target="http://www.tandfonline.com/toc/tjde20/current#.Vm67VV5wkak" TargetMode="External"/><Relationship Id="rId9" Type="http://schemas.openxmlformats.org/officeDocument/2006/relationships/hyperlink" Target="http://www.tandfonline.com/action/authorSubmission?journalCode=tjde20&amp;page=instructions#.Vm67bF5wkak" TargetMode="External"/><Relationship Id="rId10" Type="http://schemas.openxmlformats.org/officeDocument/2006/relationships/hyperlink" Target="https://www.tandfonline.com/action/authorSubmission?journalCode=tjde20&amp;page=instructions#dsp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2024-11-23T02:36:27+01:00</dcterms:created>
  <dcterms:modified xsi:type="dcterms:W3CDTF">2024-11-23T02:36:27+01:00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