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la Société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https://lasef.org/publications/le-bulletin-de-la-sef/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https://lasef.org/wp-content/uploads/BSEF_Instructions_Auteurs_2024.pdf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 Bulletin ne publie normalement que des manuscrits inférieurs à 20 pages. Les articles et courtes notes concernant la faune de France (Métropole et D.O.M.-T.O.M.) sont publiés de préférence. Les "brèves communications" ne doivent ordinairement pas dépasser une page.</w:t>
      </w:r>
      <w:br/>
      <w:r>
        <w:rPr/>
        <w:t xml:space="preserve">Covers issues and explorations in the fields of entomology, ecology and 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Allemand, Italien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Bulletin de la SEF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0037-928X (ISSN-L); 0037-928X (Papier); 2540-2641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 Bulletin publie en accès libre sur le site internet de la SEF avec dépôt dans HAL (https://hal.science/),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Gratuit pour les members ; Pour les non membres : 70 € pour un article de 1 à 4 pages et 10 € par page supplémentaire. (mise à jour le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7" TargetMode="External"/><Relationship Id="rId8" Type="http://schemas.openxmlformats.org/officeDocument/2006/relationships/hyperlink" Target="https://lasef.org/publications/le-bulletin-de-la-sef/" TargetMode="External"/><Relationship Id="rId9" Type="http://schemas.openxmlformats.org/officeDocument/2006/relationships/hyperlink" Target="https://lasef.org/wp-content/uploads/BSEF_Instructions_Auteurs_2024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2025-09-27T08:24:41+02:00</dcterms:created>
  <dcterms:modified xsi:type="dcterms:W3CDTF">2025-09-27T08:24:41+02:00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