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https://ou-publier.cirad.fr/node/3316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http://www.biomedcentral.com/bmcbiotechnol/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http://www.biomedcentral.com/bmcbiotechnol/authors/instructions/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peer-reviewed research articles on the manipulation of biological macromolecules or organisms for use in experimental procedures, cellular and tissue engineering or in the pharmaceutical, agricultural biotechnology and allied industries.</w:t>
      </w:r>
      <w:br/>
      <w:r>
        <w:rPr/>
        <w:t xml:space="preserve">Type of paper includes: database articles, software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Biotechnol.</w:t>
      </w:r>
      <w:br/>
      <w:r>
        <w:rPr>
          <w:b w:val="1"/>
          <w:bCs w:val="1"/>
        </w:rPr>
        <w:t xml:space="preserve">ISSN : </w:t>
      </w:r>
      <w:r>
        <w:rPr/>
        <w:t xml:space="preserve">1472-6750 (ISSN-L); 1472-6750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2490 € (mise à jour le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16" TargetMode="External"/><Relationship Id="rId8" Type="http://schemas.openxmlformats.org/officeDocument/2006/relationships/hyperlink" Target="http://www.biomedcentral.com/bmcbiotechnol/" TargetMode="External"/><Relationship Id="rId9" Type="http://schemas.openxmlformats.org/officeDocument/2006/relationships/hyperlink" Target="http://www.biomedcentral.com/bmcbiotechnol/authors/instructions/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2025-09-27T14:09:00+02:00</dcterms:created>
  <dcterms:modified xsi:type="dcterms:W3CDTF">2025-09-27T14:09:00+02:00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