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Systems</w:t>
      </w:r>
      <w:bookmarkEnd w:id="1"/>
    </w:p>
    <w:p>
      <w:hyperlink r:id="rId7" w:history="1">
        <w:r>
          <w:rPr>
            <w:color w:val="#0000ff"/>
          </w:rPr>
          <w:t xml:space="preserve">https://ou-publier.cirad.fr/node/3256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https://www.sciencedirect.com/journal/agricultural-systems</w:t>
        </w:r>
      </w:hyperlink>
      <w:br/>
      <w:r>
        <w:rPr>
          <w:b w:val="1"/>
          <w:bCs w:val="1"/>
        </w:rPr>
        <w:t xml:space="preserve">Informations aux auteurs : </w:t>
      </w:r>
      <w:hyperlink r:id="rId9" w:history="1">
        <w:r>
          <w:rPr>
            <w:color w:val="#0000ff"/>
          </w:rPr>
          <w:t xml:space="preserve">https://www.sciencedirect.com/journal/agricultural-systems/publish/guide-for-authors</w:t>
        </w:r>
      </w:hyperlink>
      <w:br/>
      <w:br/>
      <w:r>
        <w:rPr>
          <w:b w:val="1"/>
          <w:bCs w:val="1"/>
        </w:rPr>
        <w:t xml:space="preserve">Présentation de la revue</w:t>
      </w:r>
      <w:br/>
      <w:r>
        <w:rPr>
          <w:b w:val="1"/>
          <w:bCs w:val="1"/>
        </w:rPr>
        <w:t xml:space="preserve">Langue originale : </w:t>
      </w:r>
    </w:p>
    <w:p>
      <w:pPr/>
      <w:r>
        <w:rPr>
          <w:i w:val="1"/>
          <w:iCs w:val="1"/>
        </w:rPr>
        <w:t xml:space="preserve">Agricultural Systems</w:t>
      </w:r>
      <w:r>
        <w:rPr/>
        <w:t xml:space="preserve"> is an international journal that deals with interactions - among the components of agricultural systems, among hierarchical levels of agricultural systems, between agricultural and other land use systems, and between agricultural systems and their natural, social and economic environments. Manuscripts submitted to </w:t>
      </w:r>
      <w:r>
        <w:rPr>
          <w:i w:val="1"/>
          <w:iCs w:val="1"/>
        </w:rPr>
        <w:t xml:space="preserve">Agricultural Systems</w:t>
      </w:r>
      <w:r>
        <w:rPr/>
        <w:t xml:space="preserve"> generally should include both of the following:</w:t>
      </w:r>
    </w:p>
    <w:p>
      <w:pPr>
        <w:numPr>
          <w:ilvl w:val="0"/>
          <w:numId w:val="2"/>
        </w:numPr>
      </w:pPr>
      <w:r>
        <w:rPr/>
        <w:t xml:space="preserve">substantive natural science content (especially farm- or landscape-level biology or ecology, sometimes combined with social sciences), and</w:t>
      </w:r>
    </w:p>
    <w:p>
      <w:pPr>
        <w:numPr>
          <w:ilvl w:val="0"/>
          <w:numId w:val="2"/>
        </w:numPr>
      </w:pPr>
      <w:r>
        <w:rPr/>
        <w:t xml:space="preserve">substantive analysis and discussion of the interactions within or among agricultural systems components and other systems.</w:t>
      </w:r>
    </w:p>
    <w:p>
      <w:pPr/>
      <w:r>
        <w:rPr/>
        <w:t xml:space="preserve">Preference is given to manuscripts that address whole-farm and landscape level issues, via integration of conceptual, empirical and dynamic modelling approaches.</w:t>
      </w:r>
      <w:br/>
      <w:br/>
      <w:r>
        <w:rPr/>
        <w:t xml:space="preserve">The scope includes the development and application of systems analysis methodologies (diagnosis, simulation and mathematical modelling, participatory modelling, multi-criteria assessment, trade-off analysis, participatory design, etc.) in the following areas:</w:t>
      </w:r>
    </w:p>
    <w:p>
      <w:pPr>
        <w:numPr>
          <w:ilvl w:val="0"/>
          <w:numId w:val="3"/>
        </w:numPr>
      </w:pPr>
      <w:r>
        <w:rPr/>
        <w:t xml:space="preserve">agroecology and the sustainable intensification of agriculture as well as transition pathways for sustainable intensification;</w:t>
      </w:r>
    </w:p>
    <w:p>
      <w:pPr>
        <w:numPr>
          <w:ilvl w:val="0"/>
          <w:numId w:val="3"/>
        </w:numPr>
      </w:pPr>
      <w:r>
        <w:rPr/>
        <w:t xml:space="preserve">decision-making and resource allocation in agricultural systems;</w:t>
      </w:r>
    </w:p>
    <w:p>
      <w:pPr>
        <w:numPr>
          <w:ilvl w:val="0"/>
          <w:numId w:val="3"/>
        </w:numPr>
      </w:pPr>
      <w:r>
        <w:rPr/>
        <w:t xml:space="preserve">the interactions between agricultural and non-agricultural landscapes;</w:t>
      </w:r>
    </w:p>
    <w:p>
      <w:pPr>
        <w:numPr>
          <w:ilvl w:val="0"/>
          <w:numId w:val="3"/>
        </w:numPr>
      </w:pPr>
      <w:r>
        <w:rPr/>
        <w:t xml:space="preserve">the multiple services provided by agricultural systems from food security to environmental services;</w:t>
      </w:r>
    </w:p>
    <w:p>
      <w:pPr>
        <w:numPr>
          <w:ilvl w:val="0"/>
          <w:numId w:val="3"/>
        </w:numPr>
      </w:pPr>
      <w:r>
        <w:rPr/>
        <w:t xml:space="preserve">adaptation and transformation of agricultural systems in the era of global change;</w:t>
      </w:r>
    </w:p>
    <w:p>
      <w:pPr>
        <w:numPr>
          <w:ilvl w:val="0"/>
          <w:numId w:val="3"/>
        </w:numPr>
      </w:pPr>
      <w:r>
        <w:rPr/>
        <w:t xml:space="preserve">development and application of tools and methods for agricultural systems design, assessment and management;</w:t>
      </w:r>
    </w:p>
    <w:p>
      <w:pPr>
        <w:numPr>
          <w:ilvl w:val="0"/>
          <w:numId w:val="3"/>
        </w:numPr>
      </w:pPr>
      <w:r>
        <w:rPr/>
        <w:t xml:space="preserve">innovation systems and multi-stakeholder arrangements that support or promote change and/or informs policy decisions; and</w:t>
      </w:r>
    </w:p>
    <w:p>
      <w:pPr>
        <w:numPr>
          <w:ilvl w:val="0"/>
          <w:numId w:val="3"/>
        </w:numPr>
      </w:pPr>
      <w:r>
        <w:rPr/>
        <w:t xml:space="preserve">big data and the digitalisation of agriculture and their effects on agriculture.</w:t>
      </w:r>
    </w:p>
    <w:p>
      <w:pPr/>
    </w:p>
    <w:p>
      <w:pPr/>
      <w:r>
        <w:rPr>
          <w:b w:val="1"/>
          <w:bCs w:val="1"/>
        </w:rPr>
        <w:t xml:space="preserve">Thèmes : </w:t>
      </w:r>
      <w:r>
        <w:rPr/>
        <w:t xml:space="preserve"/>
      </w:r>
      <w:br/>
      <w:r>
        <w:rPr/>
        <w:t xml:space="preserve">Systèmes de culture</w:t>
      </w:r>
      <w:br/>
      <w:r>
        <w:rPr/>
        <w:t xml:space="preserve">Zootechnie, syst. d'élevage</w:t>
      </w:r>
      <w:br/>
      <w:r>
        <w:rPr/>
        <w:t xml:space="preserve">Economie des filières</w:t>
      </w:r>
      <w:br/>
      <w:r>
        <w:rPr/>
        <w:t xml:space="preserve">Gestion de l'espace foncier</w:t>
      </w:r>
      <w:br/>
      <w:r>
        <w:rPr/>
        <w:t xml:space="preserve">Changement climatique et environnemental</w:t>
      </w:r>
      <w:br/>
      <w:r>
        <w:rPr/>
        <w:t xml:space="preserve">Modélisation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Agric. Syst.</w:t>
      </w:r>
      <w:br/>
      <w:r>
        <w:rPr>
          <w:b w:val="1"/>
          <w:bCs w:val="1"/>
        </w:rPr>
        <w:t xml:space="preserve">ISSN : </w:t>
      </w:r>
      <w:r>
        <w:rPr/>
        <w:t xml:space="preserve">0308-521X (ISSN-L); 0308-521X (Papier); 1873-2267 (Electronique)</w:t>
      </w:r>
      <w:br/>
      <w:r>
        <w:rPr>
          <w:b w:val="1"/>
          <w:bCs w:val="1"/>
        </w:rPr>
        <w:t xml:space="preserve">Périodicité : </w:t>
      </w:r>
      <w:r>
        <w:rPr/>
        <w:t xml:space="preserve">9 n°/an</w:t>
      </w:r>
      <w:br/>
    </w:p>
    <w:p>
      <w:pPr/>
      <w:r>
        <w:rPr>
          <w:b w:val="1"/>
          <w:bCs w:val="1"/>
        </w:rPr>
        <w:t xml:space="preserve">Types d'articles : </w:t>
      </w:r>
      <w:r>
        <w:rPr/>
        <w:t xml:space="preserve">Articles de recherche, Articles de synthèse, Analyses d'ouvrages, Articles courts, Numéros thématiques, Opinions</w:t>
      </w:r>
      <w:br/>
      <w:br/>
      <w:r>
        <w:rPr>
          <w:b w:val="1"/>
          <w:bCs w:val="1"/>
        </w:rPr>
        <w:t xml:space="preserve">Frais de publication : </w:t>
      </w:r>
      <w:r>
        <w:rPr/>
        <w:t xml:space="preserve">Non</w:t>
      </w:r>
      <w:br/>
      <w:r>
        <w:rPr>
          <w:b w:val="1"/>
          <w:bCs w:val="1"/>
        </w:rPr>
        <w:t xml:space="preserve">Coût du libre accès optionnel : </w:t>
      </w:r>
      <w:r>
        <w:rPr/>
        <w:t xml:space="preserve">3820 $. Pour les Ciradiens, aucun coût à payer suite à un accord national pour la période 2024-2028 (https://intranet-dist.cirad.fr/publier/choisir-la-revue/accords-cirad-editeurs). (mise à jour le 22/05/2024)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22/05/2024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DE25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72981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56" TargetMode="External"/><Relationship Id="rId8" Type="http://schemas.openxmlformats.org/officeDocument/2006/relationships/hyperlink" Target="https://www.sciencedirect.com/journal/agricultural-systems" TargetMode="External"/><Relationship Id="rId9" Type="http://schemas.openxmlformats.org/officeDocument/2006/relationships/hyperlink" Target="https://www.sciencedirect.com/journal/agricultural-systems/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2024-11-05T01:14:54+01:00</dcterms:created>
  <dcterms:modified xsi:type="dcterms:W3CDTF">2024-11-05T01:14:54+01:00</dcterms:modified>
</cp:coreProperties>
</file>

<file path=docProps/custom.xml><?xml version="1.0" encoding="utf-8"?>
<Properties xmlns="http://schemas.openxmlformats.org/officeDocument/2006/custom-properties" xmlns:vt="http://schemas.openxmlformats.org/officeDocument/2006/docPropsVTypes"/>
</file>